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FB" w:rsidRDefault="000073F4">
      <w:pPr>
        <w:pStyle w:val="Heading1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Logistics</w:t>
      </w:r>
    </w:p>
    <w:tbl>
      <w:tblPr>
        <w:tblStyle w:val="a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9270"/>
      </w:tblGrid>
      <w:tr w:rsidR="001D58FB">
        <w:tc>
          <w:tcPr>
            <w:tcW w:w="1365" w:type="dxa"/>
            <w:tcBorders>
              <w:bottom w:val="single" w:sz="4" w:space="0" w:color="000000"/>
            </w:tcBorders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9270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Description</w:t>
            </w:r>
          </w:p>
        </w:tc>
      </w:tr>
      <w:tr w:rsidR="001D58FB">
        <w:tc>
          <w:tcPr>
            <w:tcW w:w="1365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November </w:t>
            </w:r>
            <w:r>
              <w:rPr>
                <w:b/>
              </w:rPr>
              <w:t>7</w:t>
            </w:r>
            <w:r>
              <w:rPr>
                <w:b/>
                <w:color w:val="000000"/>
                <w:vertAlign w:val="superscript"/>
              </w:rPr>
              <w:t>th</w:t>
            </w:r>
            <w:r>
              <w:rPr>
                <w:b/>
                <w:color w:val="000000"/>
              </w:rPr>
              <w:t>, 2018</w:t>
            </w:r>
          </w:p>
        </w:tc>
      </w:tr>
      <w:tr w:rsidR="001D58FB">
        <w:tc>
          <w:tcPr>
            <w:tcW w:w="1365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</w:tcPr>
          <w:p w:rsidR="001D58FB" w:rsidRDefault="000073F4">
            <w:pPr>
              <w:rPr>
                <w:b/>
                <w:highlight w:val="green"/>
              </w:rPr>
            </w:pPr>
            <w:r>
              <w:rPr>
                <w:b/>
              </w:rPr>
              <w:t>3:30- 5:00pm</w:t>
            </w:r>
          </w:p>
        </w:tc>
      </w:tr>
      <w:tr w:rsidR="001D58FB">
        <w:trPr>
          <w:trHeight w:val="160"/>
        </w:trPr>
        <w:tc>
          <w:tcPr>
            <w:tcW w:w="1365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Location</w:t>
            </w:r>
          </w:p>
        </w:tc>
        <w:tc>
          <w:tcPr>
            <w:tcW w:w="9270" w:type="dxa"/>
            <w:tcBorders>
              <w:top w:val="single" w:sz="4" w:space="0" w:color="000000"/>
              <w:bottom w:val="single" w:sz="4" w:space="0" w:color="000000"/>
            </w:tcBorders>
          </w:tcPr>
          <w:p w:rsidR="001D58FB" w:rsidRDefault="000073F4">
            <w:pPr>
              <w:rPr>
                <w:b/>
              </w:rPr>
            </w:pPr>
            <w:r>
              <w:rPr>
                <w:b/>
              </w:rPr>
              <w:t>SUB 3202</w:t>
            </w:r>
          </w:p>
        </w:tc>
      </w:tr>
      <w:tr w:rsidR="001D58FB">
        <w:trPr>
          <w:trHeight w:val="60"/>
        </w:trPr>
        <w:tc>
          <w:tcPr>
            <w:tcW w:w="1365" w:type="dxa"/>
          </w:tcPr>
          <w:p w:rsidR="001D58FB" w:rsidRDefault="000073F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Next meeting date: December 5</w:t>
            </w:r>
            <w:r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>, 2018</w:t>
            </w:r>
          </w:p>
        </w:tc>
        <w:tc>
          <w:tcPr>
            <w:tcW w:w="9270" w:type="dxa"/>
          </w:tcPr>
          <w:p w:rsidR="001D58FB" w:rsidRDefault="000073F4">
            <w:pPr>
              <w:rPr>
                <w:b/>
              </w:rPr>
            </w:pPr>
            <w:r>
              <w:rPr>
                <w:b/>
                <w:color w:val="FF0000"/>
              </w:rPr>
              <w:t>Location: SUB 3202</w:t>
            </w:r>
          </w:p>
        </w:tc>
      </w:tr>
    </w:tbl>
    <w:p w:rsidR="001D58FB" w:rsidRDefault="000073F4" w:rsidP="00CA719E">
      <w:pPr>
        <w:pStyle w:val="Heading1"/>
        <w:numPr>
          <w:ilvl w:val="0"/>
          <w:numId w:val="1"/>
        </w:numPr>
        <w:tabs>
          <w:tab w:val="left" w:pos="6435"/>
          <w:tab w:val="right" w:pos="10080"/>
        </w:tabs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Attendees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bookmarkStart w:id="0" w:name="_GoBack"/>
      <w:bookmarkEnd w:id="0"/>
      <w:r w:rsidR="00CA719E">
        <w:rPr>
          <w:rFonts w:ascii="Times New Roman" w:eastAsia="Times New Roman" w:hAnsi="Times New Roman" w:cs="Times New Roman"/>
          <w:sz w:val="22"/>
          <w:szCs w:val="22"/>
        </w:rPr>
        <w:tab/>
      </w:r>
    </w:p>
    <w:tbl>
      <w:tblPr>
        <w:tblStyle w:val="a0"/>
        <w:tblW w:w="10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2324"/>
        <w:gridCol w:w="1843"/>
        <w:gridCol w:w="4507"/>
      </w:tblGrid>
      <w:tr w:rsidR="001D58FB">
        <w:trPr>
          <w:trHeight w:val="200"/>
        </w:trPr>
        <w:tc>
          <w:tcPr>
            <w:tcW w:w="1521" w:type="dxa"/>
          </w:tcPr>
          <w:p w:rsidR="001D58FB" w:rsidRDefault="001D5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24" w:type="dxa"/>
            <w:tcBorders>
              <w:bottom w:val="single" w:sz="4" w:space="0" w:color="000000"/>
            </w:tcBorders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Role</w:t>
            </w:r>
          </w:p>
        </w:tc>
        <w:tc>
          <w:tcPr>
            <w:tcW w:w="6350" w:type="dxa"/>
            <w:gridSpan w:val="2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Name</w:t>
            </w:r>
          </w:p>
        </w:tc>
      </w:tr>
      <w:tr w:rsidR="001D58FB">
        <w:trPr>
          <w:trHeight w:val="260"/>
        </w:trPr>
        <w:tc>
          <w:tcPr>
            <w:tcW w:w="1521" w:type="dxa"/>
          </w:tcPr>
          <w:p w:rsidR="001D58FB" w:rsidRDefault="001D5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Facilitator</w:t>
            </w:r>
          </w:p>
        </w:tc>
        <w:tc>
          <w:tcPr>
            <w:tcW w:w="6350" w:type="dxa"/>
            <w:gridSpan w:val="2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Joe Hamilton </w:t>
            </w:r>
            <w:r>
              <w:rPr>
                <w:i/>
                <w:color w:val="000000"/>
              </w:rPr>
              <w:t>(Chair of Truman PIP, Assistant Director of UCS)</w:t>
            </w:r>
          </w:p>
        </w:tc>
      </w:tr>
      <w:tr w:rsidR="001D58FB">
        <w:trPr>
          <w:trHeight w:val="260"/>
        </w:trPr>
        <w:tc>
          <w:tcPr>
            <w:tcW w:w="1521" w:type="dxa"/>
          </w:tcPr>
          <w:p w:rsidR="001D58FB" w:rsidRDefault="001D5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 Taker</w:t>
            </w:r>
          </w:p>
        </w:tc>
        <w:tc>
          <w:tcPr>
            <w:tcW w:w="6350" w:type="dxa"/>
            <w:gridSpan w:val="2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Ti</w:t>
            </w:r>
            <w:proofErr w:type="spellEnd"/>
            <w:r>
              <w:rPr>
                <w:b/>
                <w:color w:val="000000"/>
              </w:rPr>
              <w:t xml:space="preserve"> Bingaman </w:t>
            </w:r>
            <w:r>
              <w:rPr>
                <w:i/>
                <w:color w:val="000000"/>
              </w:rPr>
              <w:t>(Truman PIP intern)</w:t>
            </w:r>
          </w:p>
        </w:tc>
      </w:tr>
      <w:tr w:rsidR="001D58FB">
        <w:trPr>
          <w:trHeight w:val="980"/>
        </w:trPr>
        <w:tc>
          <w:tcPr>
            <w:tcW w:w="1521" w:type="dxa"/>
          </w:tcPr>
          <w:p w:rsidR="001D58FB" w:rsidRDefault="001D5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Members </w:t>
            </w:r>
          </w:p>
        </w:tc>
        <w:tc>
          <w:tcPr>
            <w:tcW w:w="6350" w:type="dxa"/>
            <w:gridSpan w:val="2"/>
          </w:tcPr>
          <w:p w:rsidR="00900925" w:rsidRDefault="000073F4">
            <w:pPr>
              <w:rPr>
                <w:i/>
              </w:rPr>
            </w:pPr>
            <w:r>
              <w:rPr>
                <w:i/>
              </w:rPr>
              <w:t xml:space="preserve">Laura Wallace, Roberta Donahue, Adam McMichael, JD. </w:t>
            </w:r>
            <w:proofErr w:type="gramStart"/>
            <w:r>
              <w:rPr>
                <w:i/>
              </w:rPr>
              <w:t>Smiser,</w:t>
            </w:r>
            <w:proofErr w:type="gramEnd"/>
            <w:r>
              <w:rPr>
                <w:i/>
              </w:rPr>
              <w:t xml:space="preserve"> and Nick Rincon.</w:t>
            </w:r>
          </w:p>
          <w:p w:rsidR="001D58FB" w:rsidRPr="00900925" w:rsidRDefault="00900925" w:rsidP="00900925">
            <w:pPr>
              <w:tabs>
                <w:tab w:val="left" w:pos="5010"/>
              </w:tabs>
            </w:pPr>
            <w:r>
              <w:tab/>
            </w:r>
          </w:p>
        </w:tc>
      </w:tr>
      <w:tr w:rsidR="001D58FB">
        <w:trPr>
          <w:trHeight w:val="260"/>
        </w:trPr>
        <w:tc>
          <w:tcPr>
            <w:tcW w:w="1521" w:type="dxa"/>
          </w:tcPr>
          <w:p w:rsidR="001D58FB" w:rsidRDefault="001D5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2324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Members Absent</w:t>
            </w:r>
          </w:p>
        </w:tc>
        <w:tc>
          <w:tcPr>
            <w:tcW w:w="6350" w:type="dxa"/>
            <w:gridSpan w:val="2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</w:rPr>
              <w:t xml:space="preserve">Zach </w:t>
            </w:r>
            <w:proofErr w:type="spellStart"/>
            <w:r>
              <w:rPr>
                <w:i/>
              </w:rPr>
              <w:t>Hollstrom</w:t>
            </w:r>
            <w:proofErr w:type="spellEnd"/>
            <w:r>
              <w:rPr>
                <w:i/>
              </w:rPr>
              <w:t xml:space="preserve">, Madison Peterson, Olivia Hunt, Eric Vaughn, Lauri </w:t>
            </w:r>
            <w:proofErr w:type="spellStart"/>
            <w:r>
              <w:rPr>
                <w:i/>
              </w:rPr>
              <w:t>Millot</w:t>
            </w:r>
            <w:proofErr w:type="spellEnd"/>
            <w:r>
              <w:rPr>
                <w:i/>
              </w:rPr>
              <w:t xml:space="preserve">, John </w:t>
            </w:r>
            <w:proofErr w:type="spellStart"/>
            <w:r>
              <w:rPr>
                <w:i/>
              </w:rPr>
              <w:t>Kelsall</w:t>
            </w:r>
            <w:proofErr w:type="spellEnd"/>
            <w:r>
              <w:rPr>
                <w:i/>
              </w:rPr>
              <w:t>, and Nancy Daley-Moore.</w:t>
            </w:r>
          </w:p>
        </w:tc>
      </w:tr>
      <w:tr w:rsidR="001D58FB">
        <w:trPr>
          <w:trHeight w:val="60"/>
        </w:trPr>
        <w:tc>
          <w:tcPr>
            <w:tcW w:w="1521" w:type="dxa"/>
          </w:tcPr>
          <w:p w:rsidR="001D58FB" w:rsidRDefault="001D5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</w:rPr>
            </w:pPr>
          </w:p>
        </w:tc>
        <w:tc>
          <w:tcPr>
            <w:tcW w:w="2324" w:type="dxa"/>
            <w:shd w:val="clear" w:color="auto" w:fill="CCCCCC"/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Guests</w:t>
            </w:r>
          </w:p>
        </w:tc>
        <w:tc>
          <w:tcPr>
            <w:tcW w:w="6350" w:type="dxa"/>
            <w:gridSpan w:val="2"/>
          </w:tcPr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D58FB">
        <w:tc>
          <w:tcPr>
            <w:tcW w:w="3845" w:type="dxa"/>
            <w:gridSpan w:val="2"/>
            <w:shd w:val="clear" w:color="auto" w:fill="CCCCCC"/>
            <w:tcMar>
              <w:left w:w="115" w:type="dxa"/>
              <w:right w:w="115" w:type="dxa"/>
            </w:tcMar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Agenda Topic</w:t>
            </w:r>
          </w:p>
        </w:tc>
        <w:tc>
          <w:tcPr>
            <w:tcW w:w="1843" w:type="dxa"/>
            <w:shd w:val="clear" w:color="auto" w:fill="CCCCCC"/>
            <w:tcMar>
              <w:left w:w="115" w:type="dxa"/>
              <w:right w:w="115" w:type="dxa"/>
            </w:tcMar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POC</w:t>
            </w:r>
          </w:p>
        </w:tc>
        <w:tc>
          <w:tcPr>
            <w:tcW w:w="4507" w:type="dxa"/>
            <w:shd w:val="clear" w:color="auto" w:fill="CCCCCC"/>
            <w:tcMar>
              <w:left w:w="115" w:type="dxa"/>
              <w:right w:w="115" w:type="dxa"/>
            </w:tcMar>
          </w:tcPr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Minutes</w:t>
            </w:r>
          </w:p>
        </w:tc>
      </w:tr>
      <w:tr w:rsidR="001D58FB">
        <w:trPr>
          <w:trHeight w:val="234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1D58FB" w:rsidRDefault="000073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New Business</w:t>
            </w:r>
          </w:p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</w:p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Approve Minutes</w:t>
            </w:r>
          </w:p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Preliminary surveying about MOM</w:t>
            </w:r>
          </w:p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gjdgxs" w:colFirst="0" w:colLast="0"/>
            <w:bookmarkEnd w:id="1"/>
          </w:p>
          <w:p w:rsidR="001D58FB" w:rsidRDefault="00007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2" w:name="_lg6xyegkynvk" w:colFirst="0" w:colLast="0"/>
            <w:bookmarkEnd w:id="2"/>
            <w:r>
              <w:rPr>
                <w:color w:val="000000"/>
              </w:rPr>
              <w:t>Sexual Assault Information from Columbia MOPIP Meeting</w:t>
            </w:r>
          </w:p>
          <w:p w:rsidR="001D58FB" w:rsidRDefault="001D58FB"/>
          <w:p w:rsidR="001D58FB" w:rsidRDefault="001D58FB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0073F4">
            <w:r>
              <w:t>Joe Hamilton</w:t>
            </w:r>
          </w:p>
          <w:p w:rsidR="001D58FB" w:rsidRDefault="001D58FB"/>
          <w:p w:rsidR="001D58FB" w:rsidRDefault="001D58FB"/>
          <w:p w:rsidR="001D58FB" w:rsidRDefault="000073F4">
            <w:r>
              <w:t>Joe Hamilton</w:t>
            </w:r>
          </w:p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D58FB" w:rsidRDefault="000073F4">
            <w:r>
              <w:t>Approved</w:t>
            </w:r>
          </w:p>
          <w:p w:rsidR="001D58FB" w:rsidRDefault="001D58FB">
            <w:pPr>
              <w:ind w:right="-113"/>
            </w:pPr>
          </w:p>
          <w:p w:rsidR="001D58FB" w:rsidRDefault="000073F4">
            <w:pPr>
              <w:ind w:right="-113"/>
            </w:pPr>
            <w:r>
              <w:t xml:space="preserve">April 4-6 is MOM. Roberta Donahue showed interested but will require no funding. Possibly JD Smiser. </w:t>
            </w:r>
          </w:p>
          <w:p w:rsidR="001D58FB" w:rsidRDefault="000073F4">
            <w:pPr>
              <w:ind w:right="-113"/>
            </w:pPr>
            <w:r>
              <w:t>Developing your message worksheet-</w:t>
            </w:r>
          </w:p>
          <w:p w:rsidR="001D58FB" w:rsidRDefault="000073F4">
            <w:pPr>
              <w:ind w:right="-113"/>
            </w:pPr>
            <w:r>
              <w:t>Values: supportive community, balance, and knowledge</w:t>
            </w:r>
          </w:p>
          <w:p w:rsidR="001D58FB" w:rsidRDefault="000073F4">
            <w:pPr>
              <w:ind w:right="-113"/>
            </w:pPr>
            <w:r>
              <w:t>Negative feelings: impeded independence and irrelevance.</w:t>
            </w:r>
          </w:p>
          <w:p w:rsidR="001D58FB" w:rsidRDefault="000073F4">
            <w:pPr>
              <w:ind w:right="-113"/>
            </w:pPr>
            <w:r>
              <w:t xml:space="preserve">Describe the journey:  no skills into skill utilization, unbalanced to balanced, and limited knowledge to knowledgeable. The turning point is hard to describe because there is a limited middle ground, but overall, it would be skill utilization. </w:t>
            </w:r>
          </w:p>
          <w:p w:rsidR="001D58FB" w:rsidRDefault="000073F4">
            <w:pPr>
              <w:ind w:right="-113"/>
            </w:pPr>
            <w:r>
              <w:t>Problem: Risky drinking behaviors such as binge drinking</w:t>
            </w:r>
          </w:p>
          <w:p w:rsidR="001D58FB" w:rsidRDefault="000073F4">
            <w:pPr>
              <w:ind w:right="-113"/>
            </w:pPr>
            <w:r>
              <w:t xml:space="preserve">Solution: Focus on helping behaviors outside of campus. Prevent this “0 to 100” mindset. </w:t>
            </w:r>
          </w:p>
          <w:p w:rsidR="001D58FB" w:rsidRDefault="000073F4">
            <w:pPr>
              <w:ind w:right="-113"/>
            </w:pPr>
            <w:r>
              <w:t>Show success: amnesty policy and provide opportunities for skills to be used</w:t>
            </w:r>
          </w:p>
        </w:tc>
      </w:tr>
      <w:tr w:rsidR="001D58FB">
        <w:trPr>
          <w:trHeight w:val="3580"/>
        </w:trPr>
        <w:tc>
          <w:tcPr>
            <w:tcW w:w="3845" w:type="dxa"/>
            <w:gridSpan w:val="2"/>
            <w:tcMar>
              <w:left w:w="115" w:type="dxa"/>
              <w:right w:w="115" w:type="dxa"/>
            </w:tcMar>
          </w:tcPr>
          <w:p w:rsidR="001D58FB" w:rsidRDefault="000073F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Student Organization Reports</w:t>
            </w:r>
          </w:p>
          <w:p w:rsidR="001D58FB" w:rsidRDefault="001D58FB"/>
          <w:p w:rsidR="001D58FB" w:rsidRDefault="000073F4">
            <w:pPr>
              <w:spacing w:line="480" w:lineRule="auto"/>
            </w:pPr>
            <w:r>
              <w:t xml:space="preserve">Greek Life </w:t>
            </w:r>
          </w:p>
          <w:p w:rsidR="001D58FB" w:rsidRDefault="001D58FB">
            <w:pPr>
              <w:spacing w:line="480" w:lineRule="auto"/>
            </w:pPr>
          </w:p>
          <w:p w:rsidR="001D58FB" w:rsidRDefault="001D58FB">
            <w:pPr>
              <w:spacing w:line="480" w:lineRule="auto"/>
            </w:pPr>
          </w:p>
          <w:p w:rsidR="001D58FB" w:rsidRDefault="000073F4">
            <w:pPr>
              <w:spacing w:line="480" w:lineRule="auto"/>
            </w:pPr>
            <w:r>
              <w:t>PEK</w:t>
            </w:r>
          </w:p>
          <w:p w:rsidR="001D58FB" w:rsidRDefault="001D58FB">
            <w:pPr>
              <w:spacing w:line="480" w:lineRule="auto"/>
            </w:pPr>
          </w:p>
          <w:p w:rsidR="001D58FB" w:rsidRDefault="001D58FB">
            <w:pPr>
              <w:spacing w:line="480" w:lineRule="auto"/>
            </w:pPr>
          </w:p>
          <w:p w:rsidR="001D58FB" w:rsidRDefault="000073F4">
            <w:pPr>
              <w:spacing w:line="480" w:lineRule="auto"/>
            </w:pPr>
            <w:r>
              <w:t>SPHA</w:t>
            </w:r>
          </w:p>
          <w:p w:rsidR="001D58FB" w:rsidRDefault="000073F4">
            <w:pPr>
              <w:spacing w:line="480" w:lineRule="auto"/>
            </w:pPr>
            <w:r>
              <w:t>Women’s Resource Center</w:t>
            </w:r>
          </w:p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</w:tc>
        <w:tc>
          <w:tcPr>
            <w:tcW w:w="1843" w:type="dxa"/>
            <w:tcMar>
              <w:left w:w="115" w:type="dxa"/>
              <w:right w:w="115" w:type="dxa"/>
            </w:tcMar>
          </w:tcPr>
          <w:p w:rsidR="001D58FB" w:rsidRDefault="001D58FB"/>
          <w:p w:rsidR="001D58FB" w:rsidRDefault="001D58FB"/>
          <w:p w:rsidR="001D58FB" w:rsidRDefault="000073F4">
            <w:r>
              <w:t>Nick Rincon</w:t>
            </w:r>
          </w:p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0073F4">
            <w:r>
              <w:t>Laura Wallace</w:t>
            </w:r>
          </w:p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0073F4">
            <w:r>
              <w:t>Olivia Hunt</w:t>
            </w:r>
          </w:p>
          <w:p w:rsidR="001D58FB" w:rsidRDefault="001D58FB"/>
          <w:p w:rsidR="001D58FB" w:rsidRDefault="000073F4">
            <w:r>
              <w:t>Nancy Daley-Moore</w:t>
            </w:r>
          </w:p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  <w:p w:rsidR="001D58FB" w:rsidRDefault="001D58FB"/>
        </w:tc>
        <w:tc>
          <w:tcPr>
            <w:tcW w:w="4507" w:type="dxa"/>
            <w:tcMar>
              <w:left w:w="115" w:type="dxa"/>
              <w:right w:w="115" w:type="dxa"/>
            </w:tcMar>
          </w:tcPr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D58FB" w:rsidRDefault="001D5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1D58FB" w:rsidRDefault="000073F4">
            <w:r>
              <w:t>Just ended Alcohol Awareness Week. The</w:t>
            </w:r>
            <w:r w:rsidR="00C944CB">
              <w:t>y</w:t>
            </w:r>
            <w:r>
              <w:t xml:space="preserve"> tried to make interactive events this year. Around 220 people stopped by their tabling. Mental wellness committee for Greek life is planning an event for after Thanksgiving Break. </w:t>
            </w:r>
          </w:p>
          <w:p w:rsidR="001D58FB" w:rsidRDefault="001D58FB"/>
          <w:p w:rsidR="001D58FB" w:rsidRDefault="000073F4">
            <w:r>
              <w:t>Two weeks ago, they talked about Sp</w:t>
            </w:r>
            <w:r w:rsidR="00750F42">
              <w:t>ring’s “Moving Towards H</w:t>
            </w:r>
            <w:r>
              <w:t>ealth” week. They are looking for liaison for wellness committee. Tonight is big-little pairing.</w:t>
            </w:r>
          </w:p>
          <w:p w:rsidR="001D58FB" w:rsidRDefault="001D58FB"/>
          <w:p w:rsidR="001D58FB" w:rsidRDefault="000073F4">
            <w:r>
              <w:t>No report</w:t>
            </w:r>
          </w:p>
          <w:p w:rsidR="001D58FB" w:rsidRDefault="001D58FB"/>
          <w:p w:rsidR="001D58FB" w:rsidRDefault="001D58FB"/>
          <w:p w:rsidR="001D58FB" w:rsidRDefault="000073F4">
            <w:r>
              <w:t>No report</w:t>
            </w:r>
          </w:p>
        </w:tc>
      </w:tr>
    </w:tbl>
    <w:p w:rsidR="001D58FB" w:rsidRDefault="001D58FB"/>
    <w:sectPr w:rsidR="001D5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C3" w:rsidRDefault="000073F4">
      <w:r>
        <w:separator/>
      </w:r>
    </w:p>
  </w:endnote>
  <w:endnote w:type="continuationSeparator" w:id="0">
    <w:p w:rsidR="00A677C3" w:rsidRDefault="0000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FB" w:rsidRDefault="001D58F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FB" w:rsidRDefault="001D58F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FB" w:rsidRDefault="001D58F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C3" w:rsidRDefault="000073F4">
      <w:r>
        <w:separator/>
      </w:r>
    </w:p>
  </w:footnote>
  <w:footnote w:type="continuationSeparator" w:id="0">
    <w:p w:rsidR="00A677C3" w:rsidRDefault="00007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FB" w:rsidRDefault="001D58F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FB" w:rsidRDefault="000073F4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MOPIP</w:t>
    </w: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column">
            <wp:posOffset>51437</wp:posOffset>
          </wp:positionH>
          <wp:positionV relativeFrom="paragraph">
            <wp:posOffset>-226058</wp:posOffset>
          </wp:positionV>
          <wp:extent cx="914400" cy="650875"/>
          <wp:effectExtent l="0" t="0" r="0" b="0"/>
          <wp:wrapNone/>
          <wp:docPr id="1" name="image1.jpg" descr="logo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58FB" w:rsidRDefault="00CA719E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Meeting Minutes</w:t>
    </w:r>
  </w:p>
  <w:p w:rsidR="001D58FB" w:rsidRDefault="001D58F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8FB" w:rsidRDefault="001D58FB">
    <w:pPr>
      <w:pBdr>
        <w:top w:val="nil"/>
        <w:left w:val="nil"/>
        <w:bottom w:val="nil"/>
        <w:right w:val="nil"/>
        <w:between w:val="nil"/>
      </w:pBdr>
      <w:tabs>
        <w:tab w:val="left" w:pos="432"/>
      </w:tabs>
      <w:rPr>
        <w:rFonts w:ascii="Arial" w:eastAsia="Arial" w:hAnsi="Arial" w:cs="Arial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1D77"/>
    <w:multiLevelType w:val="multilevel"/>
    <w:tmpl w:val="4B7C699E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144"/>
      </w:pPr>
    </w:lvl>
    <w:lvl w:ilvl="4">
      <w:start w:val="1"/>
      <w:numFmt w:val="decimal"/>
      <w:lvlText w:val="%1.%2.%3.%4.%5"/>
      <w:lvlJc w:val="left"/>
      <w:pPr>
        <w:ind w:left="1440" w:hanging="144"/>
      </w:pPr>
    </w:lvl>
    <w:lvl w:ilvl="5">
      <w:start w:val="1"/>
      <w:numFmt w:val="decimal"/>
      <w:lvlText w:val="%1.%2.%3.%4.%5.%6"/>
      <w:lvlJc w:val="left"/>
      <w:pPr>
        <w:ind w:left="1440" w:hanging="144"/>
      </w:pPr>
    </w:lvl>
    <w:lvl w:ilvl="6">
      <w:start w:val="1"/>
      <w:numFmt w:val="decimal"/>
      <w:lvlText w:val="%1.%2.%3.%4.%5.%6.%7"/>
      <w:lvlJc w:val="left"/>
      <w:pPr>
        <w:ind w:left="1440" w:hanging="144"/>
      </w:pPr>
    </w:lvl>
    <w:lvl w:ilvl="7">
      <w:start w:val="1"/>
      <w:numFmt w:val="decimal"/>
      <w:lvlText w:val="%1.%2.%3.%4.%5.%6.%7.%8"/>
      <w:lvlJc w:val="left"/>
      <w:pPr>
        <w:ind w:left="2880" w:hanging="1584"/>
      </w:pPr>
    </w:lvl>
    <w:lvl w:ilvl="8">
      <w:start w:val="1"/>
      <w:numFmt w:val="decimal"/>
      <w:lvlText w:val="%1.%2.%3.%4.%5.%6.%7.%8.%9"/>
      <w:lvlJc w:val="left"/>
      <w:pPr>
        <w:ind w:left="1440" w:hanging="144"/>
      </w:pPr>
    </w:lvl>
  </w:abstractNum>
  <w:abstractNum w:abstractNumId="1">
    <w:nsid w:val="282C5639"/>
    <w:multiLevelType w:val="multilevel"/>
    <w:tmpl w:val="451245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58FB"/>
    <w:rsid w:val="000073F4"/>
    <w:rsid w:val="001D58FB"/>
    <w:rsid w:val="006E3D61"/>
    <w:rsid w:val="007214E3"/>
    <w:rsid w:val="00750F42"/>
    <w:rsid w:val="00900925"/>
    <w:rsid w:val="00A677C3"/>
    <w:rsid w:val="00C944CB"/>
    <w:rsid w:val="00C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1152" w:hanging="432"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/>
      <w:ind w:left="1440" w:hanging="720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spacing w:before="240"/>
      <w:ind w:left="1440" w:hanging="720"/>
      <w:outlineLvl w:val="2"/>
    </w:pPr>
    <w:rPr>
      <w:b/>
      <w:i/>
      <w:sz w:val="24"/>
      <w:szCs w:val="24"/>
    </w:rPr>
  </w:style>
  <w:style w:type="paragraph" w:styleId="Heading4">
    <w:name w:val="heading 4"/>
    <w:basedOn w:val="Normal"/>
    <w:next w:val="Normal"/>
    <w:pPr>
      <w:keepNext/>
      <w:spacing w:after="60"/>
      <w:ind w:left="1440" w:hanging="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pPr>
      <w:spacing w:before="240" w:after="60"/>
      <w:ind w:left="1440" w:hanging="144"/>
      <w:outlineLvl w:val="4"/>
    </w:pPr>
  </w:style>
  <w:style w:type="paragraph" w:styleId="Heading6">
    <w:name w:val="heading 6"/>
    <w:basedOn w:val="Normal"/>
    <w:next w:val="Normal"/>
    <w:pPr>
      <w:spacing w:before="240" w:after="60"/>
      <w:ind w:left="1440" w:hanging="144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Worker, Student Affairs</dc:creator>
  <cp:lastModifiedBy>user</cp:lastModifiedBy>
  <cp:revision>9</cp:revision>
  <dcterms:created xsi:type="dcterms:W3CDTF">2018-11-26T17:59:00Z</dcterms:created>
  <dcterms:modified xsi:type="dcterms:W3CDTF">2019-01-15T18:24:00Z</dcterms:modified>
</cp:coreProperties>
</file>