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FDD8E" w14:textId="77777777" w:rsidR="0043728B" w:rsidRPr="00D435AA" w:rsidRDefault="0043728B" w:rsidP="0043728B">
      <w:pPr>
        <w:pStyle w:val="Heading1"/>
        <w:numPr>
          <w:ilvl w:val="0"/>
          <w:numId w:val="0"/>
        </w:numPr>
        <w:spacing w:line="360" w:lineRule="auto"/>
        <w:ind w:left="1152" w:hanging="432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D435AA">
        <w:rPr>
          <w:rFonts w:ascii="Times New Roman" w:hAnsi="Times New Roman"/>
          <w:sz w:val="22"/>
          <w:szCs w:val="22"/>
        </w:rPr>
        <w:t>Meeting Logistics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9485"/>
      </w:tblGrid>
      <w:tr w:rsidR="0043728B" w:rsidRPr="00D435AA" w14:paraId="5FDE2DE8" w14:textId="77777777" w:rsidTr="00DB7498">
        <w:tc>
          <w:tcPr>
            <w:tcW w:w="542" w:type="pct"/>
            <w:tcBorders>
              <w:bottom w:val="single" w:sz="4" w:space="0" w:color="auto"/>
            </w:tcBorders>
            <w:shd w:val="pct20" w:color="auto" w:fill="auto"/>
          </w:tcPr>
          <w:p w14:paraId="5E336601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Item</w:t>
            </w:r>
          </w:p>
        </w:tc>
        <w:tc>
          <w:tcPr>
            <w:tcW w:w="4458" w:type="pct"/>
            <w:shd w:val="pct20" w:color="auto" w:fill="auto"/>
          </w:tcPr>
          <w:p w14:paraId="74DD10E6" w14:textId="77777777" w:rsidR="0043728B" w:rsidRPr="00D435AA" w:rsidRDefault="0043728B" w:rsidP="0043728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Description</w:t>
            </w:r>
          </w:p>
        </w:tc>
      </w:tr>
      <w:tr w:rsidR="0043728B" w:rsidRPr="00D435AA" w14:paraId="052EF038" w14:textId="77777777" w:rsidTr="00DB7498">
        <w:tc>
          <w:tcPr>
            <w:tcW w:w="542" w:type="pct"/>
            <w:shd w:val="pct20" w:color="auto" w:fill="auto"/>
          </w:tcPr>
          <w:p w14:paraId="6993FBEA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Date</w:t>
            </w:r>
          </w:p>
        </w:tc>
        <w:tc>
          <w:tcPr>
            <w:tcW w:w="4458" w:type="pct"/>
            <w:tcBorders>
              <w:bottom w:val="single" w:sz="4" w:space="0" w:color="auto"/>
            </w:tcBorders>
          </w:tcPr>
          <w:p w14:paraId="6D3429A7" w14:textId="77777777" w:rsidR="0043728B" w:rsidRPr="00D435AA" w:rsidRDefault="008C0277" w:rsidP="003E0BB0">
            <w:pPr>
              <w:pStyle w:val="TableHeading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April 3</w:t>
            </w:r>
            <w:r w:rsidRPr="008C0277">
              <w:rPr>
                <w:bCs/>
                <w:noProof w:val="0"/>
                <w:sz w:val="22"/>
                <w:szCs w:val="22"/>
                <w:vertAlign w:val="superscript"/>
              </w:rPr>
              <w:t>rd</w:t>
            </w:r>
            <w:r>
              <w:rPr>
                <w:bCs/>
                <w:noProof w:val="0"/>
                <w:sz w:val="22"/>
                <w:szCs w:val="22"/>
              </w:rPr>
              <w:t>, 2019</w:t>
            </w:r>
          </w:p>
        </w:tc>
      </w:tr>
      <w:tr w:rsidR="0043728B" w:rsidRPr="00D435AA" w14:paraId="22BBA49C" w14:textId="77777777" w:rsidTr="00DB7498">
        <w:tc>
          <w:tcPr>
            <w:tcW w:w="542" w:type="pct"/>
            <w:shd w:val="pct20" w:color="auto" w:fill="auto"/>
          </w:tcPr>
          <w:p w14:paraId="74C25441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Time</w:t>
            </w:r>
          </w:p>
        </w:tc>
        <w:tc>
          <w:tcPr>
            <w:tcW w:w="4458" w:type="pct"/>
            <w:tcBorders>
              <w:bottom w:val="single" w:sz="4" w:space="0" w:color="auto"/>
            </w:tcBorders>
          </w:tcPr>
          <w:p w14:paraId="5E273F7E" w14:textId="77777777" w:rsidR="0043728B" w:rsidRPr="00D435AA" w:rsidRDefault="00A84EEF" w:rsidP="0094374B">
            <w:pPr>
              <w:rPr>
                <w:b/>
                <w:bCs/>
                <w:szCs w:val="22"/>
                <w:highlight w:val="green"/>
              </w:rPr>
            </w:pPr>
            <w:r>
              <w:rPr>
                <w:b/>
                <w:bCs/>
                <w:szCs w:val="22"/>
              </w:rPr>
              <w:t xml:space="preserve">3:30- </w:t>
            </w:r>
            <w:r w:rsidR="002463BF">
              <w:rPr>
                <w:b/>
                <w:bCs/>
                <w:szCs w:val="22"/>
              </w:rPr>
              <w:t>5:00pm</w:t>
            </w:r>
          </w:p>
        </w:tc>
      </w:tr>
      <w:tr w:rsidR="0043728B" w:rsidRPr="00D435AA" w14:paraId="37020CE4" w14:textId="77777777" w:rsidTr="002B687A">
        <w:trPr>
          <w:trHeight w:val="170"/>
        </w:trPr>
        <w:tc>
          <w:tcPr>
            <w:tcW w:w="542" w:type="pct"/>
            <w:shd w:val="pct20" w:color="auto" w:fill="auto"/>
          </w:tcPr>
          <w:p w14:paraId="13A6B45D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Location</w:t>
            </w:r>
          </w:p>
        </w:tc>
        <w:tc>
          <w:tcPr>
            <w:tcW w:w="4458" w:type="pct"/>
            <w:tcBorders>
              <w:top w:val="single" w:sz="4" w:space="0" w:color="auto"/>
              <w:bottom w:val="single" w:sz="4" w:space="0" w:color="auto"/>
            </w:tcBorders>
          </w:tcPr>
          <w:p w14:paraId="7D621665" w14:textId="77777777" w:rsidR="0043728B" w:rsidRPr="00D435AA" w:rsidRDefault="008C0277" w:rsidP="00C038C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SUB 3202</w:t>
            </w:r>
          </w:p>
        </w:tc>
      </w:tr>
    </w:tbl>
    <w:tbl>
      <w:tblPr>
        <w:tblpPr w:leftFromText="180" w:rightFromText="180" w:vertAnchor="text" w:horzAnchor="margin" w:tblpY="11447"/>
        <w:tblOverlap w:val="never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0"/>
        <w:gridCol w:w="5220"/>
      </w:tblGrid>
      <w:tr w:rsidR="00B20993" w:rsidRPr="00D435AA" w14:paraId="7B1221EE" w14:textId="77777777" w:rsidTr="00B20993">
        <w:trPr>
          <w:trHeight w:val="70"/>
        </w:trPr>
        <w:tc>
          <w:tcPr>
            <w:tcW w:w="5080" w:type="dxa"/>
          </w:tcPr>
          <w:p w14:paraId="64B54564" w14:textId="77777777" w:rsidR="00B20993" w:rsidRPr="00D435AA" w:rsidRDefault="00B20993" w:rsidP="00B20993">
            <w:pPr>
              <w:rPr>
                <w:b/>
                <w:bCs/>
                <w:color w:val="FF0000"/>
                <w:szCs w:val="22"/>
              </w:rPr>
            </w:pPr>
            <w:r w:rsidRPr="00D435AA">
              <w:rPr>
                <w:b/>
                <w:bCs/>
                <w:color w:val="FF0000"/>
                <w:szCs w:val="22"/>
              </w:rPr>
              <w:t xml:space="preserve">Next meeting date: </w:t>
            </w:r>
            <w:r w:rsidR="008C0277">
              <w:rPr>
                <w:b/>
                <w:bCs/>
                <w:color w:val="FF0000"/>
                <w:szCs w:val="22"/>
              </w:rPr>
              <w:t>April 17</w:t>
            </w:r>
            <w:r w:rsidR="008C0277" w:rsidRPr="008C0277">
              <w:rPr>
                <w:b/>
                <w:bCs/>
                <w:color w:val="FF0000"/>
                <w:szCs w:val="22"/>
                <w:vertAlign w:val="superscript"/>
              </w:rPr>
              <w:t>th</w:t>
            </w:r>
            <w:r w:rsidR="008C0277">
              <w:rPr>
                <w:b/>
                <w:bCs/>
                <w:color w:val="FF0000"/>
                <w:szCs w:val="22"/>
              </w:rPr>
              <w:t>, 2019</w:t>
            </w:r>
          </w:p>
        </w:tc>
        <w:tc>
          <w:tcPr>
            <w:tcW w:w="5220" w:type="dxa"/>
          </w:tcPr>
          <w:p w14:paraId="193400DF" w14:textId="77777777" w:rsidR="00B20993" w:rsidRPr="002463BF" w:rsidRDefault="00B20993" w:rsidP="00B20993">
            <w:pPr>
              <w:rPr>
                <w:b/>
                <w:szCs w:val="22"/>
              </w:rPr>
            </w:pPr>
            <w:r w:rsidRPr="002463BF">
              <w:rPr>
                <w:b/>
                <w:color w:val="FF0000"/>
                <w:szCs w:val="22"/>
              </w:rPr>
              <w:t>Location:</w:t>
            </w:r>
            <w:r w:rsidR="00C2233B">
              <w:rPr>
                <w:b/>
                <w:color w:val="FF0000"/>
                <w:szCs w:val="22"/>
              </w:rPr>
              <w:t xml:space="preserve"> </w:t>
            </w:r>
            <w:r w:rsidR="008C0277">
              <w:rPr>
                <w:b/>
                <w:color w:val="FF0000"/>
                <w:szCs w:val="22"/>
              </w:rPr>
              <w:t>SUB 3202</w:t>
            </w:r>
          </w:p>
        </w:tc>
      </w:tr>
    </w:tbl>
    <w:p w14:paraId="01ACAD23" w14:textId="77777777" w:rsidR="0043728B" w:rsidRPr="00D435AA" w:rsidRDefault="0043728B" w:rsidP="00F63636">
      <w:pPr>
        <w:pStyle w:val="Heading1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Attendees</w:t>
      </w:r>
      <w:r w:rsidR="00F63636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5"/>
        <w:gridCol w:w="1843"/>
        <w:gridCol w:w="4952"/>
      </w:tblGrid>
      <w:tr w:rsidR="0043728B" w:rsidRPr="00D435AA" w14:paraId="5B6A47B9" w14:textId="77777777" w:rsidTr="00C2233B">
        <w:trPr>
          <w:trHeight w:val="206"/>
        </w:trPr>
        <w:tc>
          <w:tcPr>
            <w:tcW w:w="1807" w:type="pct"/>
            <w:tcBorders>
              <w:bottom w:val="single" w:sz="4" w:space="0" w:color="auto"/>
            </w:tcBorders>
            <w:shd w:val="pct20" w:color="auto" w:fill="auto"/>
          </w:tcPr>
          <w:p w14:paraId="587ACCFD" w14:textId="77777777" w:rsidR="0043728B" w:rsidRPr="00D435AA" w:rsidRDefault="0043728B" w:rsidP="00C2233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Role</w:t>
            </w:r>
          </w:p>
        </w:tc>
        <w:tc>
          <w:tcPr>
            <w:tcW w:w="3193" w:type="pct"/>
            <w:gridSpan w:val="2"/>
            <w:shd w:val="pct20" w:color="auto" w:fill="auto"/>
          </w:tcPr>
          <w:p w14:paraId="7A16E55E" w14:textId="77777777" w:rsidR="0043728B" w:rsidRPr="00D435AA" w:rsidRDefault="0043728B" w:rsidP="00C2233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Name</w:t>
            </w:r>
          </w:p>
        </w:tc>
      </w:tr>
      <w:tr w:rsidR="0043728B" w:rsidRPr="00D435AA" w14:paraId="3EAA815F" w14:textId="77777777" w:rsidTr="00C2233B">
        <w:trPr>
          <w:trHeight w:val="270"/>
        </w:trPr>
        <w:tc>
          <w:tcPr>
            <w:tcW w:w="1807" w:type="pct"/>
            <w:shd w:val="pct20" w:color="auto" w:fill="auto"/>
          </w:tcPr>
          <w:p w14:paraId="174E78B9" w14:textId="77777777" w:rsidR="0043728B" w:rsidRPr="00D435AA" w:rsidRDefault="0043728B" w:rsidP="00C2233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Facilitator</w:t>
            </w:r>
          </w:p>
        </w:tc>
        <w:tc>
          <w:tcPr>
            <w:tcW w:w="3193" w:type="pct"/>
            <w:gridSpan w:val="2"/>
          </w:tcPr>
          <w:p w14:paraId="387A15FE" w14:textId="77777777" w:rsidR="0043728B" w:rsidRPr="00F73730" w:rsidRDefault="00113E11" w:rsidP="00C2233B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Joe Hamilton</w:t>
            </w:r>
            <w:r w:rsidR="00F73730">
              <w:rPr>
                <w:bCs/>
                <w:noProof w:val="0"/>
                <w:sz w:val="22"/>
                <w:szCs w:val="22"/>
              </w:rPr>
              <w:t xml:space="preserve"> </w:t>
            </w:r>
            <w:r w:rsidR="007F6D25">
              <w:rPr>
                <w:b w:val="0"/>
                <w:bCs/>
                <w:i/>
                <w:noProof w:val="0"/>
                <w:sz w:val="22"/>
                <w:szCs w:val="22"/>
              </w:rPr>
              <w:t>(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 xml:space="preserve">Chair of Truman PIP,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Assistant Director of UCS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>)</w:t>
            </w:r>
          </w:p>
        </w:tc>
      </w:tr>
      <w:tr w:rsidR="0022082C" w:rsidRPr="00D435AA" w14:paraId="2456E0CF" w14:textId="77777777" w:rsidTr="00C2233B">
        <w:trPr>
          <w:trHeight w:val="270"/>
        </w:trPr>
        <w:tc>
          <w:tcPr>
            <w:tcW w:w="1807" w:type="pct"/>
            <w:shd w:val="pct20" w:color="auto" w:fill="auto"/>
          </w:tcPr>
          <w:p w14:paraId="2E31FA05" w14:textId="77777777" w:rsidR="0022082C" w:rsidRPr="00D435AA" w:rsidRDefault="0022082C" w:rsidP="00C2233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 Taker</w:t>
            </w:r>
          </w:p>
        </w:tc>
        <w:tc>
          <w:tcPr>
            <w:tcW w:w="3193" w:type="pct"/>
            <w:gridSpan w:val="2"/>
          </w:tcPr>
          <w:p w14:paraId="4E5169DB" w14:textId="77777777" w:rsidR="0022082C" w:rsidRPr="001144AE" w:rsidRDefault="007F6D25" w:rsidP="00C2233B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Ti Bingaman </w:t>
            </w:r>
            <w:r w:rsidR="001144AE">
              <w:rPr>
                <w:b w:val="0"/>
                <w:bCs/>
                <w:i/>
                <w:noProof w:val="0"/>
                <w:sz w:val="22"/>
                <w:szCs w:val="22"/>
              </w:rPr>
              <w:t>(Truman PIP intern)</w:t>
            </w:r>
          </w:p>
        </w:tc>
      </w:tr>
      <w:tr w:rsidR="0022082C" w:rsidRPr="00D435AA" w14:paraId="3D099A00" w14:textId="77777777" w:rsidTr="00C2233B">
        <w:trPr>
          <w:trHeight w:val="998"/>
        </w:trPr>
        <w:tc>
          <w:tcPr>
            <w:tcW w:w="1807" w:type="pct"/>
            <w:shd w:val="pct20" w:color="auto" w:fill="auto"/>
          </w:tcPr>
          <w:p w14:paraId="33FB2E68" w14:textId="77777777" w:rsidR="0022082C" w:rsidRPr="00D435AA" w:rsidRDefault="0022082C" w:rsidP="00C2233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 xml:space="preserve">Members </w:t>
            </w:r>
          </w:p>
        </w:tc>
        <w:tc>
          <w:tcPr>
            <w:tcW w:w="3193" w:type="pct"/>
            <w:gridSpan w:val="2"/>
          </w:tcPr>
          <w:p w14:paraId="46301104" w14:textId="67C95064" w:rsidR="0022082C" w:rsidRPr="005B3980" w:rsidRDefault="002B387B" w:rsidP="00C2233B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 xml:space="preserve">John </w:t>
            </w:r>
            <w:proofErr w:type="spellStart"/>
            <w:r>
              <w:rPr>
                <w:bCs/>
                <w:i/>
                <w:szCs w:val="22"/>
              </w:rPr>
              <w:t>Kelsall</w:t>
            </w:r>
            <w:proofErr w:type="spellEnd"/>
            <w:r>
              <w:rPr>
                <w:bCs/>
                <w:i/>
                <w:szCs w:val="22"/>
              </w:rPr>
              <w:t xml:space="preserve">, JD Smiser, Zach Hollstrom, Roberta Donahue, </w:t>
            </w:r>
            <w:r w:rsidR="00D06A44">
              <w:rPr>
                <w:bCs/>
                <w:i/>
                <w:szCs w:val="22"/>
              </w:rPr>
              <w:t>Laura Wallace</w:t>
            </w:r>
          </w:p>
        </w:tc>
      </w:tr>
      <w:tr w:rsidR="0022082C" w:rsidRPr="00D435AA" w14:paraId="195EA409" w14:textId="77777777" w:rsidTr="00C2233B">
        <w:trPr>
          <w:trHeight w:val="270"/>
        </w:trPr>
        <w:tc>
          <w:tcPr>
            <w:tcW w:w="1807" w:type="pct"/>
            <w:shd w:val="pct20" w:color="auto" w:fill="auto"/>
          </w:tcPr>
          <w:p w14:paraId="3465B9C8" w14:textId="77777777" w:rsidR="0022082C" w:rsidRPr="00D435AA" w:rsidRDefault="0022082C" w:rsidP="00C2233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Members Absent</w:t>
            </w:r>
          </w:p>
        </w:tc>
        <w:tc>
          <w:tcPr>
            <w:tcW w:w="3193" w:type="pct"/>
            <w:gridSpan w:val="2"/>
          </w:tcPr>
          <w:p w14:paraId="3D9507F2" w14:textId="4426EF5C" w:rsidR="0022082C" w:rsidRPr="005B3980" w:rsidRDefault="002B387B" w:rsidP="00C2233B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Sneha Ravikumar, Cami Smith, Will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Hebrank</w:t>
            </w:r>
            <w:proofErr w:type="spellEnd"/>
            <w:r w:rsidR="00536199">
              <w:rPr>
                <w:b w:val="0"/>
                <w:bCs/>
                <w:i/>
                <w:noProof w:val="0"/>
                <w:sz w:val="22"/>
                <w:szCs w:val="22"/>
              </w:rPr>
              <w:t xml:space="preserve">, Lauri </w:t>
            </w:r>
            <w:proofErr w:type="spellStart"/>
            <w:r w:rsidR="00536199">
              <w:rPr>
                <w:b w:val="0"/>
                <w:bCs/>
                <w:i/>
                <w:noProof w:val="0"/>
                <w:sz w:val="22"/>
                <w:szCs w:val="22"/>
              </w:rPr>
              <w:t>Millot</w:t>
            </w:r>
            <w:proofErr w:type="spellEnd"/>
            <w:r w:rsidR="00536199">
              <w:rPr>
                <w:b w:val="0"/>
                <w:bCs/>
                <w:i/>
                <w:noProof w:val="0"/>
                <w:sz w:val="22"/>
                <w:szCs w:val="22"/>
              </w:rPr>
              <w:t>, Madison Peterson, and Eric Vaugh</w:t>
            </w:r>
          </w:p>
        </w:tc>
      </w:tr>
      <w:tr w:rsidR="0022082C" w:rsidRPr="00D435AA" w14:paraId="1C289299" w14:textId="77777777" w:rsidTr="00C2233B">
        <w:trPr>
          <w:trHeight w:val="70"/>
        </w:trPr>
        <w:tc>
          <w:tcPr>
            <w:tcW w:w="1807" w:type="pct"/>
            <w:shd w:val="pct20" w:color="auto" w:fill="auto"/>
          </w:tcPr>
          <w:p w14:paraId="5EC7ADEE" w14:textId="77777777" w:rsidR="0022082C" w:rsidRPr="00D435AA" w:rsidRDefault="0022082C" w:rsidP="00C2233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Guests</w:t>
            </w:r>
          </w:p>
        </w:tc>
        <w:tc>
          <w:tcPr>
            <w:tcW w:w="3193" w:type="pct"/>
            <w:gridSpan w:val="2"/>
          </w:tcPr>
          <w:p w14:paraId="2D687A4C" w14:textId="4D7C6C75" w:rsidR="0022082C" w:rsidRPr="00D435AA" w:rsidRDefault="002B387B" w:rsidP="00C2233B">
            <w:pPr>
              <w:pStyle w:val="TableHeading"/>
              <w:rPr>
                <w:b w:val="0"/>
                <w:bCs/>
                <w:noProof w:val="0"/>
                <w:sz w:val="22"/>
                <w:szCs w:val="22"/>
              </w:rPr>
            </w:pPr>
            <w:r>
              <w:rPr>
                <w:b w:val="0"/>
                <w:bCs/>
                <w:noProof w:val="0"/>
                <w:sz w:val="22"/>
                <w:szCs w:val="22"/>
              </w:rPr>
              <w:t xml:space="preserve">Nick Rincon </w:t>
            </w:r>
          </w:p>
        </w:tc>
      </w:tr>
      <w:tr w:rsidR="0043728B" w:rsidRPr="00D435AA" w14:paraId="756C0614" w14:textId="77777777" w:rsidTr="00C2233B">
        <w:tblPrEx>
          <w:tblCellMar>
            <w:left w:w="115" w:type="dxa"/>
            <w:right w:w="115" w:type="dxa"/>
          </w:tblCellMar>
        </w:tblPrEx>
        <w:tc>
          <w:tcPr>
            <w:tcW w:w="1807" w:type="pct"/>
            <w:shd w:val="pct20" w:color="auto" w:fill="auto"/>
          </w:tcPr>
          <w:p w14:paraId="5B8CBB04" w14:textId="77777777" w:rsidR="0043728B" w:rsidRPr="00D435AA" w:rsidRDefault="0043728B" w:rsidP="00C2233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sz w:val="22"/>
                <w:szCs w:val="22"/>
              </w:rPr>
              <w:t xml:space="preserve">Agenda </w:t>
            </w:r>
            <w:r w:rsidRPr="00D435AA">
              <w:rPr>
                <w:noProof w:val="0"/>
                <w:sz w:val="22"/>
                <w:szCs w:val="22"/>
              </w:rPr>
              <w:t>Topic</w:t>
            </w:r>
          </w:p>
        </w:tc>
        <w:tc>
          <w:tcPr>
            <w:tcW w:w="866" w:type="pct"/>
            <w:shd w:val="pct20" w:color="auto" w:fill="auto"/>
          </w:tcPr>
          <w:p w14:paraId="40EF7493" w14:textId="77777777" w:rsidR="0043728B" w:rsidRPr="00D435AA" w:rsidRDefault="0043728B" w:rsidP="00C2233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POC</w:t>
            </w:r>
          </w:p>
        </w:tc>
        <w:tc>
          <w:tcPr>
            <w:tcW w:w="2327" w:type="pct"/>
            <w:shd w:val="pct20" w:color="auto" w:fill="auto"/>
          </w:tcPr>
          <w:p w14:paraId="3D58095D" w14:textId="77777777" w:rsidR="0043728B" w:rsidRPr="00D435AA" w:rsidRDefault="0043728B" w:rsidP="00C2233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Minutes</w:t>
            </w:r>
          </w:p>
        </w:tc>
      </w:tr>
      <w:tr w:rsidR="0043728B" w:rsidRPr="00D435AA" w14:paraId="7FC8BFBF" w14:textId="77777777" w:rsidTr="001B6E7E">
        <w:tblPrEx>
          <w:tblCellMar>
            <w:left w:w="115" w:type="dxa"/>
            <w:right w:w="115" w:type="dxa"/>
          </w:tblCellMar>
        </w:tblPrEx>
        <w:trPr>
          <w:trHeight w:val="620"/>
        </w:trPr>
        <w:tc>
          <w:tcPr>
            <w:tcW w:w="1807" w:type="pct"/>
          </w:tcPr>
          <w:p w14:paraId="4C32308A" w14:textId="77777777" w:rsidR="0043728B" w:rsidRDefault="00A84EEF" w:rsidP="00C2233B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 w:val="0"/>
                <w:sz w:val="22"/>
                <w:szCs w:val="22"/>
              </w:rPr>
              <w:t>New</w:t>
            </w:r>
            <w:r w:rsidR="0043728B" w:rsidRPr="00D435AA">
              <w:rPr>
                <w:b/>
                <w:bCs/>
                <w:i/>
                <w:iCs/>
                <w:noProof w:val="0"/>
                <w:sz w:val="22"/>
                <w:szCs w:val="22"/>
              </w:rPr>
              <w:t xml:space="preserve"> Business</w:t>
            </w:r>
          </w:p>
          <w:p w14:paraId="3C7D00F7" w14:textId="77777777" w:rsidR="00A84EEF" w:rsidRDefault="00A84EEF" w:rsidP="00C2233B">
            <w:pPr>
              <w:pStyle w:val="TableBody"/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</w:p>
          <w:p w14:paraId="229ACD9D" w14:textId="77777777" w:rsidR="006A3A7B" w:rsidRDefault="006A3A7B" w:rsidP="00C2233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Approve Minutes</w:t>
            </w:r>
          </w:p>
          <w:p w14:paraId="38FDAD4F" w14:textId="24E66030" w:rsidR="006B73E3" w:rsidRDefault="006B73E3" w:rsidP="008C0277"/>
          <w:p w14:paraId="4A5BA322" w14:textId="77777777" w:rsidR="000B6A3C" w:rsidRDefault="000B6A3C" w:rsidP="008C0277"/>
          <w:p w14:paraId="3504E9B4" w14:textId="5E67ACC3" w:rsidR="006B73E3" w:rsidRDefault="006B73E3" w:rsidP="008C0277">
            <w:r>
              <w:t>Funding Request</w:t>
            </w:r>
          </w:p>
          <w:p w14:paraId="4D0CBAF1" w14:textId="77777777" w:rsidR="006B73E3" w:rsidRDefault="006B73E3" w:rsidP="008C0277"/>
          <w:p w14:paraId="5F3428BC" w14:textId="77777777" w:rsidR="006B73E3" w:rsidRDefault="006B73E3" w:rsidP="008C0277"/>
          <w:p w14:paraId="774A68B1" w14:textId="77777777" w:rsidR="006B73E3" w:rsidRDefault="006B73E3" w:rsidP="008C0277"/>
          <w:p w14:paraId="215AB0A8" w14:textId="77777777" w:rsidR="006B73E3" w:rsidRDefault="006B73E3" w:rsidP="008C0277"/>
          <w:p w14:paraId="0B77BAB4" w14:textId="77777777" w:rsidR="006B73E3" w:rsidRDefault="006B73E3" w:rsidP="008C0277"/>
          <w:p w14:paraId="146F6479" w14:textId="77777777" w:rsidR="006B73E3" w:rsidRDefault="006B73E3" w:rsidP="008C0277"/>
          <w:p w14:paraId="6EA56892" w14:textId="77777777" w:rsidR="006B73E3" w:rsidRDefault="006B73E3" w:rsidP="008C0277"/>
          <w:p w14:paraId="709BA4B2" w14:textId="77777777" w:rsidR="008E2FD8" w:rsidRDefault="008E2FD8" w:rsidP="008C0277"/>
          <w:p w14:paraId="37CF62CB" w14:textId="77777777" w:rsidR="008E2FD8" w:rsidRDefault="008E2FD8" w:rsidP="008C0277"/>
          <w:p w14:paraId="700B1D63" w14:textId="77777777" w:rsidR="008E2FD8" w:rsidRDefault="008E2FD8" w:rsidP="008C0277"/>
          <w:p w14:paraId="2BB1E4E2" w14:textId="77777777" w:rsidR="000B6A3C" w:rsidRDefault="000B6A3C" w:rsidP="008C0277"/>
          <w:p w14:paraId="26C71717" w14:textId="77777777" w:rsidR="000B6A3C" w:rsidRDefault="000B6A3C" w:rsidP="008C0277"/>
          <w:p w14:paraId="405933CC" w14:textId="62A67443" w:rsidR="006035AC" w:rsidRDefault="008C0277" w:rsidP="008C0277">
            <w:r>
              <w:t>Meeting of the Minds</w:t>
            </w:r>
          </w:p>
          <w:p w14:paraId="3924E443" w14:textId="726531D7" w:rsidR="008C0277" w:rsidRDefault="008C0277" w:rsidP="008C0277"/>
          <w:p w14:paraId="2F35FD84" w14:textId="77777777" w:rsidR="000B6A3C" w:rsidRDefault="000B6A3C" w:rsidP="008C0277"/>
          <w:p w14:paraId="5755BF4C" w14:textId="77777777" w:rsidR="008C0277" w:rsidRPr="006035AC" w:rsidRDefault="008C0277" w:rsidP="008C0277">
            <w:r>
              <w:t>Strategic Plan</w:t>
            </w:r>
          </w:p>
        </w:tc>
        <w:tc>
          <w:tcPr>
            <w:tcW w:w="866" w:type="pct"/>
          </w:tcPr>
          <w:p w14:paraId="0F98A21A" w14:textId="77777777" w:rsidR="0043728B" w:rsidRPr="00D435AA" w:rsidRDefault="0043728B" w:rsidP="00C2233B">
            <w:pPr>
              <w:rPr>
                <w:szCs w:val="22"/>
              </w:rPr>
            </w:pPr>
          </w:p>
          <w:p w14:paraId="6D8F6A9A" w14:textId="77777777" w:rsidR="002527BE" w:rsidRPr="00D435AA" w:rsidRDefault="002527BE" w:rsidP="00C2233B">
            <w:pPr>
              <w:rPr>
                <w:szCs w:val="22"/>
              </w:rPr>
            </w:pPr>
          </w:p>
          <w:p w14:paraId="31F987C3" w14:textId="77777777" w:rsidR="00B328DE" w:rsidRPr="00D435AA" w:rsidRDefault="00B328DE" w:rsidP="00C2233B">
            <w:pPr>
              <w:rPr>
                <w:szCs w:val="22"/>
              </w:rPr>
            </w:pPr>
          </w:p>
          <w:p w14:paraId="4CDA1A62" w14:textId="77777777" w:rsidR="006035AC" w:rsidRDefault="006035AC" w:rsidP="00C2233B">
            <w:pPr>
              <w:rPr>
                <w:szCs w:val="22"/>
              </w:rPr>
            </w:pPr>
          </w:p>
          <w:p w14:paraId="3C031C76" w14:textId="77777777" w:rsidR="000B6A3C" w:rsidRDefault="000B6A3C" w:rsidP="00C2233B">
            <w:pPr>
              <w:rPr>
                <w:szCs w:val="22"/>
              </w:rPr>
            </w:pPr>
          </w:p>
          <w:p w14:paraId="4003AA51" w14:textId="276DD7F8" w:rsidR="006B73E3" w:rsidRDefault="006B73E3" w:rsidP="00C2233B">
            <w:pPr>
              <w:rPr>
                <w:szCs w:val="22"/>
              </w:rPr>
            </w:pPr>
            <w:r>
              <w:rPr>
                <w:szCs w:val="22"/>
              </w:rPr>
              <w:t>Nick Rincon</w:t>
            </w:r>
          </w:p>
          <w:p w14:paraId="77BEF6DA" w14:textId="77777777" w:rsidR="006B73E3" w:rsidRDefault="006B73E3" w:rsidP="00C2233B">
            <w:pPr>
              <w:rPr>
                <w:szCs w:val="22"/>
              </w:rPr>
            </w:pPr>
          </w:p>
          <w:p w14:paraId="6119E22F" w14:textId="77777777" w:rsidR="006B73E3" w:rsidRDefault="006B73E3" w:rsidP="00C2233B">
            <w:pPr>
              <w:rPr>
                <w:szCs w:val="22"/>
              </w:rPr>
            </w:pPr>
          </w:p>
          <w:p w14:paraId="20D430C4" w14:textId="77777777" w:rsidR="006B73E3" w:rsidRDefault="006B73E3" w:rsidP="00C2233B">
            <w:pPr>
              <w:rPr>
                <w:szCs w:val="22"/>
              </w:rPr>
            </w:pPr>
          </w:p>
          <w:p w14:paraId="6E7942BB" w14:textId="77777777" w:rsidR="006B73E3" w:rsidRDefault="006B73E3" w:rsidP="00C2233B">
            <w:pPr>
              <w:rPr>
                <w:szCs w:val="22"/>
              </w:rPr>
            </w:pPr>
          </w:p>
          <w:p w14:paraId="117B6880" w14:textId="77777777" w:rsidR="006B73E3" w:rsidRDefault="006B73E3" w:rsidP="00C2233B">
            <w:pPr>
              <w:rPr>
                <w:szCs w:val="22"/>
              </w:rPr>
            </w:pPr>
          </w:p>
          <w:p w14:paraId="6AD5943F" w14:textId="77777777" w:rsidR="006B73E3" w:rsidRDefault="006B73E3" w:rsidP="00C2233B">
            <w:pPr>
              <w:rPr>
                <w:szCs w:val="22"/>
              </w:rPr>
            </w:pPr>
          </w:p>
          <w:p w14:paraId="4109DB17" w14:textId="77777777" w:rsidR="006B73E3" w:rsidRDefault="006B73E3" w:rsidP="00C2233B">
            <w:pPr>
              <w:rPr>
                <w:szCs w:val="22"/>
              </w:rPr>
            </w:pPr>
          </w:p>
          <w:p w14:paraId="35A91CFF" w14:textId="77777777" w:rsidR="008E2FD8" w:rsidRDefault="008E2FD8" w:rsidP="00C2233B">
            <w:pPr>
              <w:rPr>
                <w:szCs w:val="22"/>
              </w:rPr>
            </w:pPr>
          </w:p>
          <w:p w14:paraId="5D115210" w14:textId="77777777" w:rsidR="008E2FD8" w:rsidRDefault="008E2FD8" w:rsidP="00C2233B">
            <w:pPr>
              <w:rPr>
                <w:szCs w:val="22"/>
              </w:rPr>
            </w:pPr>
          </w:p>
          <w:p w14:paraId="3D219DDC" w14:textId="77777777" w:rsidR="008E2FD8" w:rsidRDefault="008E2FD8" w:rsidP="00C2233B">
            <w:pPr>
              <w:rPr>
                <w:szCs w:val="22"/>
              </w:rPr>
            </w:pPr>
          </w:p>
          <w:p w14:paraId="5C384167" w14:textId="77777777" w:rsidR="000B6A3C" w:rsidRDefault="000B6A3C" w:rsidP="00C2233B">
            <w:pPr>
              <w:rPr>
                <w:szCs w:val="22"/>
              </w:rPr>
            </w:pPr>
          </w:p>
          <w:p w14:paraId="19915EAA" w14:textId="77777777" w:rsidR="000B6A3C" w:rsidRDefault="000B6A3C" w:rsidP="00C2233B">
            <w:pPr>
              <w:rPr>
                <w:szCs w:val="22"/>
              </w:rPr>
            </w:pPr>
          </w:p>
          <w:p w14:paraId="6632F392" w14:textId="0CB0ACDA" w:rsidR="0062194D" w:rsidRDefault="008C0277" w:rsidP="00C2233B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  <w:p w14:paraId="70E3E8C1" w14:textId="77777777" w:rsidR="000B6A3C" w:rsidRDefault="000B6A3C" w:rsidP="00C2233B">
            <w:pPr>
              <w:rPr>
                <w:szCs w:val="22"/>
              </w:rPr>
            </w:pPr>
          </w:p>
          <w:p w14:paraId="4BB71D4D" w14:textId="77777777" w:rsidR="008C0277" w:rsidRDefault="008C0277" w:rsidP="00C2233B">
            <w:pPr>
              <w:rPr>
                <w:szCs w:val="22"/>
              </w:rPr>
            </w:pPr>
          </w:p>
          <w:p w14:paraId="4AEBF714" w14:textId="77777777" w:rsidR="008C0277" w:rsidRPr="0001112D" w:rsidRDefault="008C0277" w:rsidP="00C2233B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</w:tc>
        <w:tc>
          <w:tcPr>
            <w:tcW w:w="2327" w:type="pct"/>
          </w:tcPr>
          <w:p w14:paraId="59728784" w14:textId="77777777" w:rsidR="00B328DE" w:rsidRPr="00D435AA" w:rsidRDefault="00B328DE" w:rsidP="00C2233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19C5B736" w14:textId="77777777" w:rsidR="00AC4F88" w:rsidRDefault="00AC4F88" w:rsidP="00C2233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1124771" w14:textId="62C097E3" w:rsidR="00AC4F88" w:rsidRDefault="002B387B" w:rsidP="00C2233B">
            <w:r>
              <w:t>March 6</w:t>
            </w:r>
            <w:r w:rsidRPr="002B387B">
              <w:rPr>
                <w:vertAlign w:val="superscript"/>
              </w:rPr>
              <w:t>th</w:t>
            </w:r>
            <w:r>
              <w:t>- approved</w:t>
            </w:r>
          </w:p>
          <w:p w14:paraId="118FD7F4" w14:textId="4A9008B1" w:rsidR="002B387B" w:rsidRDefault="002B387B" w:rsidP="00C2233B">
            <w:r>
              <w:t>March 20</w:t>
            </w:r>
            <w:r w:rsidRPr="002B387B">
              <w:rPr>
                <w:vertAlign w:val="superscript"/>
              </w:rPr>
              <w:t>th</w:t>
            </w:r>
            <w:r>
              <w:t>- approved</w:t>
            </w:r>
          </w:p>
          <w:p w14:paraId="12AA3988" w14:textId="77777777" w:rsidR="000B6A3C" w:rsidRPr="00AC4F88" w:rsidRDefault="000B6A3C" w:rsidP="00C2233B"/>
          <w:p w14:paraId="59E97104" w14:textId="4381185A" w:rsidR="00255C61" w:rsidRDefault="006B73E3" w:rsidP="006B73E3">
            <w:pPr>
              <w:tabs>
                <w:tab w:val="left" w:pos="1200"/>
              </w:tabs>
              <w:ind w:right="-113"/>
            </w:pPr>
            <w:r>
              <w:t xml:space="preserve">Nick Rincon is creating a social media campaign to combat the increase usage of electronic cigarettes and prescription stimulants. </w:t>
            </w:r>
            <w:r>
              <w:tab/>
              <w:t xml:space="preserve">He is requesting money for posters to spread awareness of their campaign. </w:t>
            </w:r>
          </w:p>
          <w:p w14:paraId="09E8DC17" w14:textId="24B9719E" w:rsidR="006B73E3" w:rsidRDefault="006B73E3" w:rsidP="006B73E3">
            <w:pPr>
              <w:tabs>
                <w:tab w:val="left" w:pos="1200"/>
              </w:tabs>
              <w:ind w:right="-113"/>
            </w:pPr>
            <w:r>
              <w:t>We agreed to submit the design request and have PIP create the posters instead of funding $100. If that process does not work, Roberta Donahue may be able to go through publications</w:t>
            </w:r>
            <w:r w:rsidR="00536199">
              <w:t xml:space="preserve"> at Truman</w:t>
            </w:r>
            <w:r>
              <w:t xml:space="preserve">. </w:t>
            </w:r>
            <w:r w:rsidR="008E2FD8">
              <w:t>We are only funding the electronic cigarette posters</w:t>
            </w:r>
          </w:p>
          <w:p w14:paraId="42F6F5A4" w14:textId="77777777" w:rsidR="000B6A3C" w:rsidRDefault="000B6A3C" w:rsidP="006B73E3">
            <w:pPr>
              <w:tabs>
                <w:tab w:val="left" w:pos="1200"/>
              </w:tabs>
              <w:ind w:right="-113"/>
            </w:pPr>
          </w:p>
          <w:p w14:paraId="64F7534C" w14:textId="388E3794" w:rsidR="008E2FD8" w:rsidRDefault="008E2FD8" w:rsidP="006B73E3">
            <w:pPr>
              <w:tabs>
                <w:tab w:val="left" w:pos="1200"/>
              </w:tabs>
              <w:ind w:right="-113"/>
            </w:pPr>
            <w:r>
              <w:t>May 3</w:t>
            </w:r>
            <w:r w:rsidRPr="008E2FD8">
              <w:rPr>
                <w:vertAlign w:val="superscript"/>
              </w:rPr>
              <w:t>rd</w:t>
            </w:r>
            <w:r>
              <w:t xml:space="preserve"> PIP meeting is about electronic cigarettes not strategic planning.</w:t>
            </w:r>
          </w:p>
          <w:p w14:paraId="39C1787D" w14:textId="77777777" w:rsidR="000B6A3C" w:rsidRDefault="000B6A3C" w:rsidP="006B73E3">
            <w:pPr>
              <w:tabs>
                <w:tab w:val="left" w:pos="1200"/>
              </w:tabs>
              <w:ind w:right="-113"/>
            </w:pPr>
          </w:p>
          <w:p w14:paraId="040859DA" w14:textId="435F42AB" w:rsidR="008E2FD8" w:rsidRDefault="008E2FD8" w:rsidP="006B73E3">
            <w:pPr>
              <w:tabs>
                <w:tab w:val="left" w:pos="1200"/>
              </w:tabs>
              <w:ind w:right="-113"/>
            </w:pPr>
            <w:r>
              <w:t>All students who are using university transportation</w:t>
            </w:r>
            <w:r w:rsidR="00A61919">
              <w:t xml:space="preserve"> </w:t>
            </w:r>
            <w:r>
              <w:t xml:space="preserve">will travel back on the first </w:t>
            </w:r>
            <w:r w:rsidR="00A61919">
              <w:t>van</w:t>
            </w:r>
            <w:r>
              <w:t xml:space="preserve"> with Teri Tucker.</w:t>
            </w:r>
          </w:p>
          <w:p w14:paraId="72323F3B" w14:textId="77777777" w:rsidR="000B6A3C" w:rsidRDefault="000B6A3C" w:rsidP="006B73E3">
            <w:pPr>
              <w:tabs>
                <w:tab w:val="left" w:pos="1200"/>
              </w:tabs>
              <w:ind w:right="-113"/>
            </w:pPr>
          </w:p>
          <w:p w14:paraId="4013A6EA" w14:textId="79488207" w:rsidR="008E2FD8" w:rsidRDefault="00D06A44" w:rsidP="006B73E3">
            <w:pPr>
              <w:tabs>
                <w:tab w:val="left" w:pos="1200"/>
              </w:tabs>
              <w:ind w:right="-113"/>
            </w:pPr>
            <w:r>
              <w:t xml:space="preserve">Overview of PIP’s new template for the strategic plan. </w:t>
            </w:r>
          </w:p>
          <w:p w14:paraId="18ADF133" w14:textId="77777777" w:rsidR="001650D7" w:rsidRDefault="001650D7" w:rsidP="006B73E3">
            <w:pPr>
              <w:tabs>
                <w:tab w:val="left" w:pos="1200"/>
              </w:tabs>
              <w:ind w:right="-113"/>
            </w:pPr>
            <w:r>
              <w:t xml:space="preserve">Joe Hamilton is in the process of putting our strategic plan into new template. </w:t>
            </w:r>
          </w:p>
          <w:p w14:paraId="29283534" w14:textId="77777777" w:rsidR="001650D7" w:rsidRDefault="001650D7" w:rsidP="006B73E3">
            <w:pPr>
              <w:tabs>
                <w:tab w:val="left" w:pos="1200"/>
              </w:tabs>
              <w:ind w:right="-113"/>
            </w:pPr>
            <w:r>
              <w:t>Another additional focus area could be electronic cigarette.</w:t>
            </w:r>
            <w:r w:rsidR="003B2C77">
              <w:t xml:space="preserve"> The coalition discussed our knowledge of electronic cigarettes. We decided it is important to get information related towards electronic cigarettes out to the student population.</w:t>
            </w:r>
          </w:p>
          <w:p w14:paraId="09D60996" w14:textId="77777777" w:rsidR="003B2C77" w:rsidRDefault="003B2C77" w:rsidP="006B73E3">
            <w:pPr>
              <w:tabs>
                <w:tab w:val="left" w:pos="1200"/>
              </w:tabs>
              <w:ind w:right="-113"/>
            </w:pPr>
          </w:p>
          <w:p w14:paraId="454B9610" w14:textId="42462B2E" w:rsidR="003B2C77" w:rsidRPr="00255C61" w:rsidRDefault="003B2C77" w:rsidP="006B73E3">
            <w:pPr>
              <w:tabs>
                <w:tab w:val="left" w:pos="1200"/>
              </w:tabs>
              <w:ind w:right="-113"/>
            </w:pPr>
            <w:r>
              <w:t>Zach</w:t>
            </w:r>
            <w:r w:rsidR="00536199">
              <w:t xml:space="preserve"> </w:t>
            </w:r>
            <w:r w:rsidR="00F20115">
              <w:t>Hollstrom explained</w:t>
            </w:r>
            <w:r>
              <w:t xml:space="preserve"> changes being made to </w:t>
            </w:r>
            <w:r>
              <w:lastRenderedPageBreak/>
              <w:t>residen</w:t>
            </w:r>
            <w:r w:rsidR="00F20115">
              <w:t>ce’s</w:t>
            </w:r>
            <w:r>
              <w:t xml:space="preserve"> life. They are going to education </w:t>
            </w:r>
            <w:r w:rsidR="00F20115">
              <w:t xml:space="preserve">programs throughout the academic year. </w:t>
            </w:r>
            <w:r>
              <w:t>to students on why resident life is so beneficial. One area they are looking at is wellness. He is open for suggests w</w:t>
            </w:r>
            <w:r w:rsidR="001B6E7E">
              <w:t>e</w:t>
            </w:r>
            <w:r>
              <w:t xml:space="preserve"> may have for him.</w:t>
            </w:r>
            <w:r w:rsidR="001B6E7E">
              <w:t xml:space="preserve"> This is a relationship we </w:t>
            </w:r>
            <w:r w:rsidR="0019584B">
              <w:t>may</w:t>
            </w:r>
            <w:r w:rsidR="001B6E7E">
              <w:t xml:space="preserve"> be growing next year</w:t>
            </w:r>
            <w:r w:rsidR="000B6A3C">
              <w:t xml:space="preserve"> especially with our new </w:t>
            </w:r>
            <w:r w:rsidR="00F20115">
              <w:t xml:space="preserve">alcohol policy </w:t>
            </w:r>
            <w:r w:rsidR="000B6A3C">
              <w:t xml:space="preserve">sub-committee. </w:t>
            </w:r>
          </w:p>
        </w:tc>
      </w:tr>
      <w:tr w:rsidR="0043728B" w:rsidRPr="00D435AA" w14:paraId="7737346C" w14:textId="77777777" w:rsidTr="00C2233B">
        <w:tblPrEx>
          <w:tblCellMar>
            <w:left w:w="115" w:type="dxa"/>
            <w:right w:w="115" w:type="dxa"/>
          </w:tblCellMar>
        </w:tblPrEx>
        <w:trPr>
          <w:trHeight w:val="3587"/>
        </w:trPr>
        <w:tc>
          <w:tcPr>
            <w:tcW w:w="1807" w:type="pct"/>
          </w:tcPr>
          <w:p w14:paraId="5370FDB8" w14:textId="77777777" w:rsidR="002A45A0" w:rsidRPr="00A84EEF" w:rsidRDefault="00FC4224" w:rsidP="00C2233B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 w:rsidRPr="00A84EEF">
              <w:rPr>
                <w:i/>
                <w:szCs w:val="22"/>
              </w:rPr>
              <w:lastRenderedPageBreak/>
              <w:t>Student Organization Reports</w:t>
            </w:r>
          </w:p>
          <w:p w14:paraId="30C25516" w14:textId="77777777" w:rsidR="00FC4224" w:rsidRDefault="00FC4224" w:rsidP="00C2233B">
            <w:pPr>
              <w:rPr>
                <w:szCs w:val="22"/>
              </w:rPr>
            </w:pPr>
          </w:p>
          <w:p w14:paraId="2A46ED48" w14:textId="77777777" w:rsidR="005B3980" w:rsidRDefault="00FC4224" w:rsidP="00C2233B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>PEK</w:t>
            </w:r>
          </w:p>
          <w:p w14:paraId="3D5EB53E" w14:textId="77777777" w:rsidR="003B2C77" w:rsidRDefault="003B2C77" w:rsidP="00C2233B">
            <w:pPr>
              <w:spacing w:line="480" w:lineRule="auto"/>
              <w:rPr>
                <w:szCs w:val="22"/>
              </w:rPr>
            </w:pPr>
          </w:p>
          <w:p w14:paraId="7E09B726" w14:textId="12F78965" w:rsidR="00C0462F" w:rsidRDefault="005B3980" w:rsidP="00C2233B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>SPHA</w:t>
            </w:r>
          </w:p>
          <w:p w14:paraId="55C41E65" w14:textId="77777777" w:rsidR="000D354A" w:rsidRDefault="008C505C" w:rsidP="00C2233B">
            <w:pPr>
              <w:rPr>
                <w:szCs w:val="22"/>
              </w:rPr>
            </w:pPr>
            <w:r>
              <w:rPr>
                <w:szCs w:val="22"/>
              </w:rPr>
              <w:t>Panhellenic Representative</w:t>
            </w:r>
          </w:p>
          <w:p w14:paraId="5FCEF09E" w14:textId="77777777" w:rsidR="008C505C" w:rsidRDefault="008C505C" w:rsidP="00C2233B">
            <w:pPr>
              <w:rPr>
                <w:szCs w:val="22"/>
              </w:rPr>
            </w:pPr>
          </w:p>
          <w:p w14:paraId="20F1B4C4" w14:textId="77777777" w:rsidR="008C505C" w:rsidRDefault="008C505C" w:rsidP="00C2233B">
            <w:pPr>
              <w:rPr>
                <w:szCs w:val="22"/>
              </w:rPr>
            </w:pPr>
            <w:r>
              <w:rPr>
                <w:szCs w:val="22"/>
              </w:rPr>
              <w:t xml:space="preserve">IFC Representative </w:t>
            </w:r>
          </w:p>
          <w:p w14:paraId="73B09519" w14:textId="77777777" w:rsidR="007473C8" w:rsidRDefault="007473C8" w:rsidP="00C2233B">
            <w:pPr>
              <w:rPr>
                <w:szCs w:val="22"/>
              </w:rPr>
            </w:pPr>
          </w:p>
          <w:p w14:paraId="5854CE60" w14:textId="77777777" w:rsidR="007473C8" w:rsidRDefault="007473C8" w:rsidP="00C2233B">
            <w:pPr>
              <w:rPr>
                <w:szCs w:val="22"/>
              </w:rPr>
            </w:pPr>
          </w:p>
          <w:p w14:paraId="487E211A" w14:textId="77777777" w:rsidR="007473C8" w:rsidRDefault="007473C8" w:rsidP="00C2233B">
            <w:pPr>
              <w:rPr>
                <w:szCs w:val="22"/>
              </w:rPr>
            </w:pPr>
          </w:p>
          <w:p w14:paraId="29C8AF53" w14:textId="77777777" w:rsidR="00D21CAD" w:rsidRDefault="00D21CAD" w:rsidP="00C2233B">
            <w:pPr>
              <w:rPr>
                <w:szCs w:val="22"/>
              </w:rPr>
            </w:pPr>
          </w:p>
          <w:p w14:paraId="12FAC491" w14:textId="77777777" w:rsidR="00D21CAD" w:rsidRDefault="00D21CAD" w:rsidP="00C2233B">
            <w:pPr>
              <w:rPr>
                <w:szCs w:val="22"/>
              </w:rPr>
            </w:pPr>
          </w:p>
          <w:p w14:paraId="3953B81B" w14:textId="77777777" w:rsidR="007473C8" w:rsidRPr="0022469A" w:rsidRDefault="007473C8" w:rsidP="00C2233B">
            <w:pPr>
              <w:rPr>
                <w:szCs w:val="22"/>
              </w:rPr>
            </w:pPr>
          </w:p>
        </w:tc>
        <w:tc>
          <w:tcPr>
            <w:tcW w:w="866" w:type="pct"/>
          </w:tcPr>
          <w:p w14:paraId="5BCABDF2" w14:textId="77777777" w:rsidR="00AF033B" w:rsidRPr="00D435AA" w:rsidRDefault="00AF033B" w:rsidP="00C2233B">
            <w:pPr>
              <w:rPr>
                <w:szCs w:val="22"/>
              </w:rPr>
            </w:pPr>
          </w:p>
          <w:p w14:paraId="0BE5DA76" w14:textId="77777777" w:rsidR="002A45A0" w:rsidRDefault="002A45A0" w:rsidP="00C2233B">
            <w:pPr>
              <w:rPr>
                <w:szCs w:val="22"/>
              </w:rPr>
            </w:pPr>
          </w:p>
          <w:p w14:paraId="0BFAA9C7" w14:textId="77777777" w:rsidR="00962AB0" w:rsidRDefault="00C2233B" w:rsidP="00C2233B">
            <w:pPr>
              <w:rPr>
                <w:szCs w:val="22"/>
              </w:rPr>
            </w:pPr>
            <w:r>
              <w:rPr>
                <w:szCs w:val="22"/>
              </w:rPr>
              <w:t>Laura Wallace</w:t>
            </w:r>
          </w:p>
          <w:p w14:paraId="2A4FE0A8" w14:textId="77777777" w:rsidR="00C2233B" w:rsidRDefault="00C2233B" w:rsidP="00C2233B">
            <w:pPr>
              <w:rPr>
                <w:szCs w:val="22"/>
              </w:rPr>
            </w:pPr>
          </w:p>
          <w:p w14:paraId="24F2D58F" w14:textId="77777777" w:rsidR="003B2C77" w:rsidRDefault="003B2C77" w:rsidP="00C2233B">
            <w:pPr>
              <w:rPr>
                <w:szCs w:val="22"/>
              </w:rPr>
            </w:pPr>
          </w:p>
          <w:p w14:paraId="61781296" w14:textId="77777777" w:rsidR="003B2C77" w:rsidRDefault="003B2C77" w:rsidP="00C2233B">
            <w:pPr>
              <w:rPr>
                <w:szCs w:val="22"/>
              </w:rPr>
            </w:pPr>
          </w:p>
          <w:p w14:paraId="556A4AB2" w14:textId="755BE549" w:rsidR="00C2233B" w:rsidRDefault="008C505C" w:rsidP="00C2233B">
            <w:pPr>
              <w:rPr>
                <w:szCs w:val="22"/>
              </w:rPr>
            </w:pPr>
            <w:r w:rsidRPr="008C505C">
              <w:rPr>
                <w:szCs w:val="22"/>
              </w:rPr>
              <w:t>Sneha Ravikumar</w:t>
            </w:r>
          </w:p>
          <w:p w14:paraId="69C07B4F" w14:textId="77777777" w:rsidR="00C2233B" w:rsidRDefault="00C2233B" w:rsidP="00C2233B">
            <w:pPr>
              <w:rPr>
                <w:szCs w:val="22"/>
              </w:rPr>
            </w:pPr>
          </w:p>
          <w:p w14:paraId="18476E14" w14:textId="77777777" w:rsidR="00C2233B" w:rsidRDefault="008C505C" w:rsidP="00C2233B">
            <w:pPr>
              <w:rPr>
                <w:szCs w:val="22"/>
              </w:rPr>
            </w:pPr>
            <w:r>
              <w:rPr>
                <w:szCs w:val="22"/>
              </w:rPr>
              <w:t>Cami Smith</w:t>
            </w:r>
          </w:p>
          <w:p w14:paraId="0756A9B8" w14:textId="77777777" w:rsidR="008C505C" w:rsidRDefault="008C505C" w:rsidP="00C2233B">
            <w:pPr>
              <w:rPr>
                <w:szCs w:val="22"/>
              </w:rPr>
            </w:pPr>
          </w:p>
          <w:p w14:paraId="22B9B104" w14:textId="77777777" w:rsidR="008C505C" w:rsidRDefault="008C505C" w:rsidP="00C2233B">
            <w:pPr>
              <w:rPr>
                <w:szCs w:val="22"/>
              </w:rPr>
            </w:pPr>
            <w:r>
              <w:rPr>
                <w:szCs w:val="22"/>
              </w:rPr>
              <w:t>Will Hebrank</w:t>
            </w:r>
          </w:p>
          <w:p w14:paraId="48C8B0A2" w14:textId="77777777" w:rsidR="00962AB0" w:rsidRPr="00962AB0" w:rsidRDefault="00962AB0" w:rsidP="00C2233B">
            <w:pPr>
              <w:rPr>
                <w:szCs w:val="22"/>
              </w:rPr>
            </w:pPr>
          </w:p>
          <w:p w14:paraId="562D09F2" w14:textId="77777777" w:rsidR="00962AB0" w:rsidRPr="00962AB0" w:rsidRDefault="00962AB0" w:rsidP="00C2233B">
            <w:pPr>
              <w:rPr>
                <w:szCs w:val="22"/>
              </w:rPr>
            </w:pPr>
          </w:p>
          <w:p w14:paraId="18E3739D" w14:textId="77777777" w:rsidR="00962AB0" w:rsidRPr="00962AB0" w:rsidRDefault="00962AB0" w:rsidP="00C2233B">
            <w:pPr>
              <w:rPr>
                <w:szCs w:val="22"/>
              </w:rPr>
            </w:pPr>
          </w:p>
          <w:p w14:paraId="68D71AAF" w14:textId="77777777" w:rsidR="00962AB0" w:rsidRPr="00962AB0" w:rsidRDefault="00962AB0" w:rsidP="00C2233B">
            <w:pPr>
              <w:rPr>
                <w:szCs w:val="22"/>
              </w:rPr>
            </w:pPr>
          </w:p>
          <w:p w14:paraId="1F27A4CF" w14:textId="77777777" w:rsidR="00962AB0" w:rsidRPr="00962AB0" w:rsidRDefault="00962AB0" w:rsidP="00C2233B">
            <w:pPr>
              <w:rPr>
                <w:szCs w:val="22"/>
              </w:rPr>
            </w:pPr>
          </w:p>
          <w:p w14:paraId="4EEA6EFE" w14:textId="77777777" w:rsidR="00962AB0" w:rsidRDefault="00962AB0" w:rsidP="00C2233B">
            <w:pPr>
              <w:rPr>
                <w:szCs w:val="22"/>
              </w:rPr>
            </w:pPr>
          </w:p>
          <w:p w14:paraId="12B0DF4B" w14:textId="77777777" w:rsidR="00962AB0" w:rsidRDefault="00962AB0" w:rsidP="00C2233B">
            <w:pPr>
              <w:rPr>
                <w:szCs w:val="22"/>
              </w:rPr>
            </w:pPr>
          </w:p>
          <w:p w14:paraId="2672EBA2" w14:textId="77777777" w:rsidR="005B3980" w:rsidRDefault="005B3980" w:rsidP="00C2233B">
            <w:pPr>
              <w:rPr>
                <w:szCs w:val="22"/>
              </w:rPr>
            </w:pPr>
          </w:p>
          <w:p w14:paraId="21C65FD9" w14:textId="77777777" w:rsidR="00962AB0" w:rsidRDefault="00962AB0" w:rsidP="00C2233B">
            <w:pPr>
              <w:rPr>
                <w:szCs w:val="22"/>
              </w:rPr>
            </w:pPr>
          </w:p>
          <w:p w14:paraId="5257D1EF" w14:textId="77777777" w:rsidR="00962AB0" w:rsidRDefault="00962AB0" w:rsidP="00C2233B">
            <w:pPr>
              <w:rPr>
                <w:szCs w:val="22"/>
              </w:rPr>
            </w:pPr>
          </w:p>
          <w:p w14:paraId="0E1DB051" w14:textId="77777777" w:rsidR="00962AB0" w:rsidRPr="00962AB0" w:rsidRDefault="00962AB0" w:rsidP="00C2233B">
            <w:pPr>
              <w:rPr>
                <w:szCs w:val="22"/>
              </w:rPr>
            </w:pPr>
          </w:p>
        </w:tc>
        <w:tc>
          <w:tcPr>
            <w:tcW w:w="2327" w:type="pct"/>
          </w:tcPr>
          <w:p w14:paraId="2401DBE2" w14:textId="77777777" w:rsidR="0043728B" w:rsidRPr="00D435AA" w:rsidRDefault="0043728B" w:rsidP="00C2233B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765D3960" w14:textId="77777777" w:rsidR="002C7FEC" w:rsidRDefault="002C7FEC" w:rsidP="00C2233B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716F14A1" w14:textId="5F5CBD84" w:rsidR="00FC4224" w:rsidRDefault="003B2C77" w:rsidP="00C2233B">
            <w:r>
              <w:t xml:space="preserve">Moving Towards Health Week met its short-term goals. They plan doing the week next year. Relay for Life is next weekend. </w:t>
            </w:r>
          </w:p>
          <w:p w14:paraId="4D774EF6" w14:textId="77777777" w:rsidR="000D354A" w:rsidRDefault="000D354A" w:rsidP="00C2233B"/>
          <w:p w14:paraId="197112D9" w14:textId="77777777" w:rsidR="005B3980" w:rsidRDefault="002B387B" w:rsidP="00C2233B">
            <w:r>
              <w:t>No Report</w:t>
            </w:r>
          </w:p>
          <w:p w14:paraId="1318002D" w14:textId="77777777" w:rsidR="002B387B" w:rsidRDefault="002B387B" w:rsidP="00C2233B"/>
          <w:p w14:paraId="20FCBDCE" w14:textId="77777777" w:rsidR="002B387B" w:rsidRDefault="002B387B" w:rsidP="00C2233B">
            <w:r>
              <w:t>No Report</w:t>
            </w:r>
          </w:p>
          <w:p w14:paraId="732A96E1" w14:textId="77777777" w:rsidR="006B73E3" w:rsidRDefault="006B73E3" w:rsidP="00C2233B"/>
          <w:p w14:paraId="751D118D" w14:textId="456355E5" w:rsidR="006B73E3" w:rsidRPr="005B3980" w:rsidRDefault="006B73E3" w:rsidP="00C2233B">
            <w:r>
              <w:t>No Report</w:t>
            </w:r>
          </w:p>
        </w:tc>
      </w:tr>
    </w:tbl>
    <w:p w14:paraId="1BE30A26" w14:textId="77777777" w:rsidR="00852A70" w:rsidRPr="00D435AA" w:rsidRDefault="00FC4224" w:rsidP="00852A70">
      <w:pPr>
        <w:rPr>
          <w:vanish/>
          <w:szCs w:val="22"/>
        </w:rPr>
      </w:pPr>
      <w:r>
        <w:rPr>
          <w:vanish/>
          <w:szCs w:val="22"/>
        </w:rPr>
        <w:br w:type="textWrapping" w:clear="all"/>
      </w:r>
    </w:p>
    <w:p w14:paraId="70091178" w14:textId="77777777" w:rsidR="00F341E4" w:rsidRPr="00D435AA" w:rsidRDefault="00F341E4" w:rsidP="00D216C9">
      <w:pPr>
        <w:rPr>
          <w:szCs w:val="22"/>
        </w:rPr>
      </w:pPr>
    </w:p>
    <w:sectPr w:rsidR="00F341E4" w:rsidRPr="00D435AA" w:rsidSect="00D216C9">
      <w:headerReference w:type="default" r:id="rId8"/>
      <w:pgSz w:w="12240" w:h="15840"/>
      <w:pgMar w:top="1440" w:right="1080" w:bottom="86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190E5" w14:textId="77777777" w:rsidR="001575ED" w:rsidRDefault="001575ED">
      <w:r>
        <w:separator/>
      </w:r>
    </w:p>
  </w:endnote>
  <w:endnote w:type="continuationSeparator" w:id="0">
    <w:p w14:paraId="3E5B1916" w14:textId="77777777" w:rsidR="001575ED" w:rsidRDefault="0015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C4F6B" w14:textId="77777777" w:rsidR="001575ED" w:rsidRDefault="001575ED">
      <w:r>
        <w:separator/>
      </w:r>
    </w:p>
  </w:footnote>
  <w:footnote w:type="continuationSeparator" w:id="0">
    <w:p w14:paraId="137DE904" w14:textId="77777777" w:rsidR="001575ED" w:rsidRDefault="00157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38A5B" w14:textId="77777777" w:rsidR="005B3980" w:rsidRDefault="005B3980" w:rsidP="0043728B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8E97A5E" wp14:editId="200829B7">
          <wp:simplePos x="0" y="0"/>
          <wp:positionH relativeFrom="column">
            <wp:posOffset>51435</wp:posOffset>
          </wp:positionH>
          <wp:positionV relativeFrom="paragraph">
            <wp:posOffset>-226060</wp:posOffset>
          </wp:positionV>
          <wp:extent cx="914400" cy="650875"/>
          <wp:effectExtent l="0" t="0" r="0" b="9525"/>
          <wp:wrapNone/>
          <wp:docPr id="5" name="Picture 5" descr="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MOPIP</w:t>
    </w:r>
  </w:p>
  <w:p w14:paraId="50DF7F6D" w14:textId="2E4724B0" w:rsidR="005B3980" w:rsidRDefault="00536199" w:rsidP="0043728B">
    <w:pPr>
      <w:pStyle w:val="Header"/>
      <w:jc w:val="center"/>
    </w:pPr>
    <w:r>
      <w:t>Meeting Minutes</w:t>
    </w:r>
  </w:p>
  <w:p w14:paraId="2928658C" w14:textId="77777777" w:rsidR="005B3980" w:rsidRDefault="005B3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B5229B4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76"/>
        </w:tabs>
        <w:ind w:left="1440" w:hanging="14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096"/>
        </w:tabs>
        <w:ind w:left="1440" w:hanging="14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96"/>
        </w:tabs>
        <w:ind w:left="2880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456"/>
        </w:tabs>
        <w:ind w:left="1440" w:hanging="144"/>
      </w:pPr>
      <w:rPr>
        <w:rFonts w:hint="default"/>
      </w:rPr>
    </w:lvl>
  </w:abstractNum>
  <w:abstractNum w:abstractNumId="1">
    <w:nsid w:val="1BDB5EE3"/>
    <w:multiLevelType w:val="hybridMultilevel"/>
    <w:tmpl w:val="078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B5CC4"/>
    <w:multiLevelType w:val="hybridMultilevel"/>
    <w:tmpl w:val="31807AB0"/>
    <w:lvl w:ilvl="0" w:tplc="5FD28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B15A0"/>
    <w:multiLevelType w:val="hybridMultilevel"/>
    <w:tmpl w:val="8324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87F0A"/>
    <w:multiLevelType w:val="hybridMultilevel"/>
    <w:tmpl w:val="67022E66"/>
    <w:lvl w:ilvl="0" w:tplc="05946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D2B33"/>
    <w:multiLevelType w:val="hybridMultilevel"/>
    <w:tmpl w:val="4CC69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3E52A4"/>
    <w:multiLevelType w:val="hybridMultilevel"/>
    <w:tmpl w:val="D472CA88"/>
    <w:lvl w:ilvl="0" w:tplc="CD38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8B"/>
    <w:rsid w:val="00002693"/>
    <w:rsid w:val="000041B9"/>
    <w:rsid w:val="0001112D"/>
    <w:rsid w:val="000244EF"/>
    <w:rsid w:val="000370C1"/>
    <w:rsid w:val="000445CC"/>
    <w:rsid w:val="00050FDC"/>
    <w:rsid w:val="0005512F"/>
    <w:rsid w:val="000631C5"/>
    <w:rsid w:val="00063FF4"/>
    <w:rsid w:val="000715D9"/>
    <w:rsid w:val="00080FED"/>
    <w:rsid w:val="000818DE"/>
    <w:rsid w:val="00083F37"/>
    <w:rsid w:val="000913DD"/>
    <w:rsid w:val="000A3D2D"/>
    <w:rsid w:val="000A50CB"/>
    <w:rsid w:val="000B03AE"/>
    <w:rsid w:val="000B1594"/>
    <w:rsid w:val="000B31B6"/>
    <w:rsid w:val="000B69F8"/>
    <w:rsid w:val="000B6A3C"/>
    <w:rsid w:val="000C6B55"/>
    <w:rsid w:val="000D1B3C"/>
    <w:rsid w:val="000D2E13"/>
    <w:rsid w:val="000D354A"/>
    <w:rsid w:val="000E2B4A"/>
    <w:rsid w:val="000F7E1B"/>
    <w:rsid w:val="00105515"/>
    <w:rsid w:val="00107BF0"/>
    <w:rsid w:val="00113E11"/>
    <w:rsid w:val="001144AE"/>
    <w:rsid w:val="0012382A"/>
    <w:rsid w:val="00147E4C"/>
    <w:rsid w:val="0015265A"/>
    <w:rsid w:val="001575ED"/>
    <w:rsid w:val="00160579"/>
    <w:rsid w:val="00163609"/>
    <w:rsid w:val="001650D7"/>
    <w:rsid w:val="001651D3"/>
    <w:rsid w:val="0016526E"/>
    <w:rsid w:val="001805DF"/>
    <w:rsid w:val="0018340A"/>
    <w:rsid w:val="0018353D"/>
    <w:rsid w:val="0018542A"/>
    <w:rsid w:val="00194A66"/>
    <w:rsid w:val="00194F40"/>
    <w:rsid w:val="0019584B"/>
    <w:rsid w:val="00197E8A"/>
    <w:rsid w:val="001A08FF"/>
    <w:rsid w:val="001B603D"/>
    <w:rsid w:val="001B6E7E"/>
    <w:rsid w:val="001B7E78"/>
    <w:rsid w:val="001C5752"/>
    <w:rsid w:val="001D597D"/>
    <w:rsid w:val="00200F98"/>
    <w:rsid w:val="00201368"/>
    <w:rsid w:val="00203D4E"/>
    <w:rsid w:val="00203D81"/>
    <w:rsid w:val="0021455A"/>
    <w:rsid w:val="0022082C"/>
    <w:rsid w:val="00220D7A"/>
    <w:rsid w:val="0022469A"/>
    <w:rsid w:val="00226269"/>
    <w:rsid w:val="002463BF"/>
    <w:rsid w:val="002527BE"/>
    <w:rsid w:val="00255AC3"/>
    <w:rsid w:val="00255C61"/>
    <w:rsid w:val="00272DC6"/>
    <w:rsid w:val="00273F02"/>
    <w:rsid w:val="0028099A"/>
    <w:rsid w:val="002847F2"/>
    <w:rsid w:val="00285C7C"/>
    <w:rsid w:val="002926CF"/>
    <w:rsid w:val="00295333"/>
    <w:rsid w:val="002A45A0"/>
    <w:rsid w:val="002B2FF3"/>
    <w:rsid w:val="002B387B"/>
    <w:rsid w:val="002B687A"/>
    <w:rsid w:val="002C6B98"/>
    <w:rsid w:val="002C7381"/>
    <w:rsid w:val="002C7FEC"/>
    <w:rsid w:val="002D4D7F"/>
    <w:rsid w:val="002F399F"/>
    <w:rsid w:val="00314F4C"/>
    <w:rsid w:val="00321E67"/>
    <w:rsid w:val="003249DC"/>
    <w:rsid w:val="00326BC1"/>
    <w:rsid w:val="00327C93"/>
    <w:rsid w:val="003324DB"/>
    <w:rsid w:val="003503CC"/>
    <w:rsid w:val="00353019"/>
    <w:rsid w:val="00353C52"/>
    <w:rsid w:val="003636C0"/>
    <w:rsid w:val="0038683A"/>
    <w:rsid w:val="00393595"/>
    <w:rsid w:val="003A2A0B"/>
    <w:rsid w:val="003B2055"/>
    <w:rsid w:val="003B2C77"/>
    <w:rsid w:val="003B2CEF"/>
    <w:rsid w:val="003D4418"/>
    <w:rsid w:val="003D7ECC"/>
    <w:rsid w:val="003E0BB0"/>
    <w:rsid w:val="003E2992"/>
    <w:rsid w:val="003E6736"/>
    <w:rsid w:val="003F15E5"/>
    <w:rsid w:val="00404C0B"/>
    <w:rsid w:val="0041695D"/>
    <w:rsid w:val="00434EE9"/>
    <w:rsid w:val="0043728B"/>
    <w:rsid w:val="00440B68"/>
    <w:rsid w:val="00441C50"/>
    <w:rsid w:val="004556B7"/>
    <w:rsid w:val="00460962"/>
    <w:rsid w:val="004801D7"/>
    <w:rsid w:val="00480ECC"/>
    <w:rsid w:val="00481AC3"/>
    <w:rsid w:val="00484D40"/>
    <w:rsid w:val="00493CBD"/>
    <w:rsid w:val="00495762"/>
    <w:rsid w:val="00496FC6"/>
    <w:rsid w:val="00497AE7"/>
    <w:rsid w:val="004A41B9"/>
    <w:rsid w:val="004A6614"/>
    <w:rsid w:val="004A6CBE"/>
    <w:rsid w:val="004B1E53"/>
    <w:rsid w:val="004C48E3"/>
    <w:rsid w:val="004D448F"/>
    <w:rsid w:val="004D5BAF"/>
    <w:rsid w:val="004E45E2"/>
    <w:rsid w:val="005062BE"/>
    <w:rsid w:val="00506A48"/>
    <w:rsid w:val="00532119"/>
    <w:rsid w:val="00536199"/>
    <w:rsid w:val="00541386"/>
    <w:rsid w:val="005438CA"/>
    <w:rsid w:val="005463BF"/>
    <w:rsid w:val="005513D0"/>
    <w:rsid w:val="0057008E"/>
    <w:rsid w:val="0057088D"/>
    <w:rsid w:val="00573D68"/>
    <w:rsid w:val="00580CAE"/>
    <w:rsid w:val="00593DEF"/>
    <w:rsid w:val="00594526"/>
    <w:rsid w:val="00597ABC"/>
    <w:rsid w:val="005A1E71"/>
    <w:rsid w:val="005B3980"/>
    <w:rsid w:val="005C165F"/>
    <w:rsid w:val="005C6740"/>
    <w:rsid w:val="005D0909"/>
    <w:rsid w:val="005D382C"/>
    <w:rsid w:val="005D6990"/>
    <w:rsid w:val="005F15FD"/>
    <w:rsid w:val="006035AC"/>
    <w:rsid w:val="00605EF4"/>
    <w:rsid w:val="00611375"/>
    <w:rsid w:val="00617BF5"/>
    <w:rsid w:val="0062194D"/>
    <w:rsid w:val="00632C5A"/>
    <w:rsid w:val="006346ED"/>
    <w:rsid w:val="00637DDF"/>
    <w:rsid w:val="0064254B"/>
    <w:rsid w:val="006432E9"/>
    <w:rsid w:val="00643E7C"/>
    <w:rsid w:val="00654954"/>
    <w:rsid w:val="006660B4"/>
    <w:rsid w:val="006915D2"/>
    <w:rsid w:val="006A3A7B"/>
    <w:rsid w:val="006A66C2"/>
    <w:rsid w:val="006B21F6"/>
    <w:rsid w:val="006B73E3"/>
    <w:rsid w:val="006E64F9"/>
    <w:rsid w:val="006F39A8"/>
    <w:rsid w:val="006F44DE"/>
    <w:rsid w:val="006F5726"/>
    <w:rsid w:val="006F6778"/>
    <w:rsid w:val="0070772E"/>
    <w:rsid w:val="00714E93"/>
    <w:rsid w:val="007242AE"/>
    <w:rsid w:val="0072734A"/>
    <w:rsid w:val="00727D3D"/>
    <w:rsid w:val="00734714"/>
    <w:rsid w:val="007347DB"/>
    <w:rsid w:val="00740902"/>
    <w:rsid w:val="00746C5F"/>
    <w:rsid w:val="007473C8"/>
    <w:rsid w:val="00784634"/>
    <w:rsid w:val="007926C1"/>
    <w:rsid w:val="00797EFD"/>
    <w:rsid w:val="007B1C35"/>
    <w:rsid w:val="007C4825"/>
    <w:rsid w:val="007D3C13"/>
    <w:rsid w:val="007D6C36"/>
    <w:rsid w:val="007E148D"/>
    <w:rsid w:val="007E4120"/>
    <w:rsid w:val="007F38D5"/>
    <w:rsid w:val="007F6D25"/>
    <w:rsid w:val="00800DAF"/>
    <w:rsid w:val="00801595"/>
    <w:rsid w:val="00811935"/>
    <w:rsid w:val="00814665"/>
    <w:rsid w:val="00815B82"/>
    <w:rsid w:val="00827E91"/>
    <w:rsid w:val="00834FC6"/>
    <w:rsid w:val="00837748"/>
    <w:rsid w:val="00852A70"/>
    <w:rsid w:val="008805F4"/>
    <w:rsid w:val="00887E87"/>
    <w:rsid w:val="00890861"/>
    <w:rsid w:val="00895C2C"/>
    <w:rsid w:val="008A6A68"/>
    <w:rsid w:val="008B2A2A"/>
    <w:rsid w:val="008B2F44"/>
    <w:rsid w:val="008C0015"/>
    <w:rsid w:val="008C0277"/>
    <w:rsid w:val="008C505C"/>
    <w:rsid w:val="008E2FD8"/>
    <w:rsid w:val="0090109C"/>
    <w:rsid w:val="00917337"/>
    <w:rsid w:val="00930B2C"/>
    <w:rsid w:val="00942D0C"/>
    <w:rsid w:val="0094374B"/>
    <w:rsid w:val="00943986"/>
    <w:rsid w:val="0095576B"/>
    <w:rsid w:val="00962AB0"/>
    <w:rsid w:val="00980787"/>
    <w:rsid w:val="00990D84"/>
    <w:rsid w:val="0099694F"/>
    <w:rsid w:val="009A1822"/>
    <w:rsid w:val="009A539E"/>
    <w:rsid w:val="009B296E"/>
    <w:rsid w:val="009B47AC"/>
    <w:rsid w:val="009C6DEF"/>
    <w:rsid w:val="009D0980"/>
    <w:rsid w:val="009E4AA4"/>
    <w:rsid w:val="009E7A4D"/>
    <w:rsid w:val="009F5B91"/>
    <w:rsid w:val="009F6286"/>
    <w:rsid w:val="00A016F8"/>
    <w:rsid w:val="00A165CB"/>
    <w:rsid w:val="00A20A24"/>
    <w:rsid w:val="00A20BBC"/>
    <w:rsid w:val="00A366E3"/>
    <w:rsid w:val="00A5350A"/>
    <w:rsid w:val="00A54ABE"/>
    <w:rsid w:val="00A55E2D"/>
    <w:rsid w:val="00A61919"/>
    <w:rsid w:val="00A746BB"/>
    <w:rsid w:val="00A768DC"/>
    <w:rsid w:val="00A80BFE"/>
    <w:rsid w:val="00A84EEF"/>
    <w:rsid w:val="00A97AD9"/>
    <w:rsid w:val="00AA0036"/>
    <w:rsid w:val="00AA1553"/>
    <w:rsid w:val="00AC149D"/>
    <w:rsid w:val="00AC2536"/>
    <w:rsid w:val="00AC4F88"/>
    <w:rsid w:val="00AD26B7"/>
    <w:rsid w:val="00AD5599"/>
    <w:rsid w:val="00AE3C3A"/>
    <w:rsid w:val="00AE41FC"/>
    <w:rsid w:val="00AE754D"/>
    <w:rsid w:val="00AF033B"/>
    <w:rsid w:val="00AF245F"/>
    <w:rsid w:val="00B038DE"/>
    <w:rsid w:val="00B1291D"/>
    <w:rsid w:val="00B1444B"/>
    <w:rsid w:val="00B20993"/>
    <w:rsid w:val="00B2118F"/>
    <w:rsid w:val="00B22373"/>
    <w:rsid w:val="00B22CFB"/>
    <w:rsid w:val="00B272B9"/>
    <w:rsid w:val="00B328DE"/>
    <w:rsid w:val="00B334D9"/>
    <w:rsid w:val="00B51520"/>
    <w:rsid w:val="00B53030"/>
    <w:rsid w:val="00B6243C"/>
    <w:rsid w:val="00B65592"/>
    <w:rsid w:val="00B84170"/>
    <w:rsid w:val="00BA3F0E"/>
    <w:rsid w:val="00BD0BA6"/>
    <w:rsid w:val="00BE054F"/>
    <w:rsid w:val="00BF3D34"/>
    <w:rsid w:val="00BF48AB"/>
    <w:rsid w:val="00C038CB"/>
    <w:rsid w:val="00C0462F"/>
    <w:rsid w:val="00C04D9E"/>
    <w:rsid w:val="00C068A3"/>
    <w:rsid w:val="00C14772"/>
    <w:rsid w:val="00C15EC7"/>
    <w:rsid w:val="00C2233B"/>
    <w:rsid w:val="00C257BE"/>
    <w:rsid w:val="00C2618B"/>
    <w:rsid w:val="00C32B9F"/>
    <w:rsid w:val="00C332B4"/>
    <w:rsid w:val="00C403B8"/>
    <w:rsid w:val="00C43AC6"/>
    <w:rsid w:val="00C44238"/>
    <w:rsid w:val="00C452C9"/>
    <w:rsid w:val="00C5281C"/>
    <w:rsid w:val="00C55017"/>
    <w:rsid w:val="00C57B1D"/>
    <w:rsid w:val="00C57F95"/>
    <w:rsid w:val="00C746D5"/>
    <w:rsid w:val="00C927EA"/>
    <w:rsid w:val="00CA1970"/>
    <w:rsid w:val="00CA5D4C"/>
    <w:rsid w:val="00CB64D3"/>
    <w:rsid w:val="00CC1CC2"/>
    <w:rsid w:val="00CC4D05"/>
    <w:rsid w:val="00CC55C7"/>
    <w:rsid w:val="00CC62B7"/>
    <w:rsid w:val="00CC7E3D"/>
    <w:rsid w:val="00CD6835"/>
    <w:rsid w:val="00CE2FFE"/>
    <w:rsid w:val="00CE4D46"/>
    <w:rsid w:val="00CE6B4A"/>
    <w:rsid w:val="00CF3168"/>
    <w:rsid w:val="00CF448C"/>
    <w:rsid w:val="00CF7D69"/>
    <w:rsid w:val="00CF7E0D"/>
    <w:rsid w:val="00D04F95"/>
    <w:rsid w:val="00D05FB1"/>
    <w:rsid w:val="00D06A44"/>
    <w:rsid w:val="00D135B7"/>
    <w:rsid w:val="00D1360A"/>
    <w:rsid w:val="00D216C9"/>
    <w:rsid w:val="00D21CAD"/>
    <w:rsid w:val="00D435AA"/>
    <w:rsid w:val="00D5077E"/>
    <w:rsid w:val="00D84EE0"/>
    <w:rsid w:val="00D9619A"/>
    <w:rsid w:val="00DB5AD4"/>
    <w:rsid w:val="00DB7498"/>
    <w:rsid w:val="00DD6253"/>
    <w:rsid w:val="00DF06EE"/>
    <w:rsid w:val="00E065AA"/>
    <w:rsid w:val="00E32EB5"/>
    <w:rsid w:val="00E34C00"/>
    <w:rsid w:val="00E35E9D"/>
    <w:rsid w:val="00E423F2"/>
    <w:rsid w:val="00E4504C"/>
    <w:rsid w:val="00E52A2B"/>
    <w:rsid w:val="00E54E64"/>
    <w:rsid w:val="00E61BF7"/>
    <w:rsid w:val="00E665B5"/>
    <w:rsid w:val="00E714DA"/>
    <w:rsid w:val="00E7480A"/>
    <w:rsid w:val="00E83D5C"/>
    <w:rsid w:val="00EB238B"/>
    <w:rsid w:val="00EB7CBA"/>
    <w:rsid w:val="00EC056F"/>
    <w:rsid w:val="00EC0633"/>
    <w:rsid w:val="00EC59F7"/>
    <w:rsid w:val="00ED16B7"/>
    <w:rsid w:val="00EE3DB0"/>
    <w:rsid w:val="00F20115"/>
    <w:rsid w:val="00F306EA"/>
    <w:rsid w:val="00F341E4"/>
    <w:rsid w:val="00F37F47"/>
    <w:rsid w:val="00F44881"/>
    <w:rsid w:val="00F60D4E"/>
    <w:rsid w:val="00F63636"/>
    <w:rsid w:val="00F677AA"/>
    <w:rsid w:val="00F73730"/>
    <w:rsid w:val="00F7489B"/>
    <w:rsid w:val="00F8640B"/>
    <w:rsid w:val="00F96473"/>
    <w:rsid w:val="00FA4725"/>
    <w:rsid w:val="00FA76A9"/>
    <w:rsid w:val="00FB3237"/>
    <w:rsid w:val="00FB5461"/>
    <w:rsid w:val="00FB5F76"/>
    <w:rsid w:val="00FC4224"/>
    <w:rsid w:val="00FC56E7"/>
    <w:rsid w:val="00FC6FA9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AD2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Logistics</vt:lpstr>
    </vt:vector>
  </TitlesOfParts>
  <Company>Truman State University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Logistics</dc:title>
  <dc:creator>Information Technology Services</dc:creator>
  <cp:lastModifiedBy>user</cp:lastModifiedBy>
  <cp:revision>2</cp:revision>
  <cp:lastPrinted>2017-03-08T19:38:00Z</cp:lastPrinted>
  <dcterms:created xsi:type="dcterms:W3CDTF">2019-04-30T18:58:00Z</dcterms:created>
  <dcterms:modified xsi:type="dcterms:W3CDTF">2019-04-30T18:58:00Z</dcterms:modified>
</cp:coreProperties>
</file>