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3" w:rsidRDefault="00416310">
      <w:pPr>
        <w:pStyle w:val="Heading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4D5773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4D5773">
        <w:tc>
          <w:tcPr>
            <w:tcW w:w="1153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March 6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2019</w:t>
            </w:r>
          </w:p>
        </w:tc>
      </w:tr>
      <w:tr w:rsidR="004D5773">
        <w:tc>
          <w:tcPr>
            <w:tcW w:w="1153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4D5773" w:rsidRDefault="00416310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4D5773">
        <w:trPr>
          <w:trHeight w:val="160"/>
        </w:trPr>
        <w:tc>
          <w:tcPr>
            <w:tcW w:w="1153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4D5773" w:rsidRDefault="00416310">
            <w:pPr>
              <w:rPr>
                <w:b/>
              </w:rPr>
            </w:pPr>
            <w:r>
              <w:rPr>
                <w:b/>
              </w:rPr>
              <w:t>SUB 3202</w:t>
            </w:r>
          </w:p>
        </w:tc>
      </w:tr>
      <w:tr w:rsidR="004D5773">
        <w:trPr>
          <w:trHeight w:val="60"/>
        </w:trPr>
        <w:tc>
          <w:tcPr>
            <w:tcW w:w="1153" w:type="dxa"/>
          </w:tcPr>
          <w:p w:rsidR="004D5773" w:rsidRDefault="00416310">
            <w:pPr>
              <w:tabs>
                <w:tab w:val="left" w:pos="277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Next meeting date: March 20</w:t>
            </w:r>
            <w:r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2019</w:t>
            </w:r>
          </w:p>
        </w:tc>
        <w:tc>
          <w:tcPr>
            <w:tcW w:w="9485" w:type="dxa"/>
          </w:tcPr>
          <w:p w:rsidR="004D5773" w:rsidRDefault="00416310">
            <w:pPr>
              <w:rPr>
                <w:b/>
              </w:rPr>
            </w:pPr>
            <w:r>
              <w:rPr>
                <w:b/>
                <w:color w:val="FF0000"/>
              </w:rPr>
              <w:t>Location: SUB 3203 ****</w:t>
            </w:r>
          </w:p>
        </w:tc>
      </w:tr>
    </w:tbl>
    <w:p w:rsidR="004D5773" w:rsidRDefault="00416310">
      <w:pPr>
        <w:pStyle w:val="Heading1"/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843"/>
        <w:gridCol w:w="4952"/>
      </w:tblGrid>
      <w:tr w:rsidR="004D5773">
        <w:trPr>
          <w:trHeight w:val="200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795" w:type="dxa"/>
            <w:gridSpan w:val="2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4D5773">
        <w:trPr>
          <w:trHeight w:val="260"/>
        </w:trPr>
        <w:tc>
          <w:tcPr>
            <w:tcW w:w="384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795" w:type="dxa"/>
            <w:gridSpan w:val="2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4D5773">
        <w:trPr>
          <w:trHeight w:val="260"/>
        </w:trPr>
        <w:tc>
          <w:tcPr>
            <w:tcW w:w="384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795" w:type="dxa"/>
            <w:gridSpan w:val="2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4D5773">
        <w:trPr>
          <w:trHeight w:val="980"/>
        </w:trPr>
        <w:tc>
          <w:tcPr>
            <w:tcW w:w="384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795" w:type="dxa"/>
            <w:gridSpan w:val="2"/>
          </w:tcPr>
          <w:p w:rsidR="004D5773" w:rsidRDefault="00416310">
            <w:pPr>
              <w:rPr>
                <w:i/>
              </w:rPr>
            </w:pPr>
            <w:r>
              <w:rPr>
                <w:i/>
              </w:rPr>
              <w:t xml:space="preserve">Madison Peterson, Cami Smith, Will </w:t>
            </w:r>
            <w:proofErr w:type="spellStart"/>
            <w:r>
              <w:rPr>
                <w:i/>
              </w:rPr>
              <w:t>Hebrank</w:t>
            </w:r>
            <w:proofErr w:type="spellEnd"/>
            <w:r>
              <w:rPr>
                <w:i/>
              </w:rPr>
              <w:t xml:space="preserve">, 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>, Zach Hollstrom, Roberta Donahue, JD Smiser, Eric Vaughn.</w:t>
            </w:r>
          </w:p>
        </w:tc>
      </w:tr>
      <w:tr w:rsidR="004D5773">
        <w:trPr>
          <w:trHeight w:val="260"/>
        </w:trPr>
        <w:tc>
          <w:tcPr>
            <w:tcW w:w="384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795" w:type="dxa"/>
            <w:gridSpan w:val="2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Laura Wallace, Adam McMichael, </w:t>
            </w:r>
            <w:proofErr w:type="spellStart"/>
            <w:r>
              <w:rPr>
                <w:i/>
              </w:rPr>
              <w:t>Sneha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Ravikumar</w:t>
            </w:r>
            <w:proofErr w:type="spellEnd"/>
            <w:r>
              <w:rPr>
                <w:i/>
              </w:rPr>
              <w:t xml:space="preserve">,  and Lauri </w:t>
            </w:r>
            <w:proofErr w:type="spellStart"/>
            <w:r>
              <w:rPr>
                <w:i/>
              </w:rPr>
              <w:t>Millot</w:t>
            </w:r>
            <w:proofErr w:type="spellEnd"/>
          </w:p>
        </w:tc>
      </w:tr>
      <w:tr w:rsidR="004D5773">
        <w:trPr>
          <w:trHeight w:val="60"/>
        </w:trPr>
        <w:tc>
          <w:tcPr>
            <w:tcW w:w="3845" w:type="dxa"/>
            <w:shd w:val="clear" w:color="auto" w:fill="CCCCCC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795" w:type="dxa"/>
            <w:gridSpan w:val="2"/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Reecha</w:t>
            </w:r>
            <w:proofErr w:type="spellEnd"/>
            <w:r>
              <w:t xml:space="preserve"> Dixit</w:t>
            </w:r>
          </w:p>
        </w:tc>
      </w:tr>
      <w:tr w:rsidR="004D5773">
        <w:tc>
          <w:tcPr>
            <w:tcW w:w="3845" w:type="dxa"/>
            <w:shd w:val="clear" w:color="auto" w:fill="CCCCCC"/>
            <w:tcMar>
              <w:left w:w="115" w:type="dxa"/>
              <w:right w:w="115" w:type="dxa"/>
            </w:tcMar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43" w:type="dxa"/>
            <w:shd w:val="clear" w:color="auto" w:fill="CCCCCC"/>
            <w:tcMar>
              <w:left w:w="115" w:type="dxa"/>
              <w:right w:w="115" w:type="dxa"/>
            </w:tcMar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952" w:type="dxa"/>
            <w:shd w:val="clear" w:color="auto" w:fill="CCCCCC"/>
            <w:tcMar>
              <w:left w:w="115" w:type="dxa"/>
              <w:right w:w="115" w:type="dxa"/>
            </w:tcMar>
          </w:tcPr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4D5773" w:rsidTr="00D93ADB">
        <w:trPr>
          <w:trHeight w:val="737"/>
        </w:trPr>
        <w:tc>
          <w:tcPr>
            <w:tcW w:w="3845" w:type="dxa"/>
            <w:tcMar>
              <w:left w:w="115" w:type="dxa"/>
              <w:right w:w="115" w:type="dxa"/>
            </w:tcMar>
          </w:tcPr>
          <w:p w:rsidR="004D5773" w:rsidRDefault="00416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4D5773" w:rsidRDefault="0041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 Minutes</w:t>
            </w:r>
          </w:p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5773" w:rsidRDefault="00416310">
            <w:r>
              <w:t>Approve applicants for Meeting of the Minds</w:t>
            </w:r>
          </w:p>
          <w:p w:rsidR="004D5773" w:rsidRDefault="004D5773"/>
          <w:p w:rsidR="004D5773" w:rsidRDefault="004D5773"/>
          <w:p w:rsidR="004D5773" w:rsidRDefault="004D5773"/>
          <w:p w:rsidR="004D5773" w:rsidRDefault="00416310">
            <w:r>
              <w:t>Continue discussion about strategic plan</w:t>
            </w:r>
          </w:p>
          <w:p w:rsidR="004D5773" w:rsidRDefault="004D5773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16310">
            <w:r>
              <w:t>Joe Hamilton</w:t>
            </w:r>
          </w:p>
          <w:p w:rsidR="004D5773" w:rsidRDefault="004D5773"/>
          <w:p w:rsidR="004D5773" w:rsidRDefault="004D5773"/>
          <w:p w:rsidR="004D5773" w:rsidRDefault="004D5773">
            <w:bookmarkStart w:id="0" w:name="_gjdgxs" w:colFirst="0" w:colLast="0"/>
            <w:bookmarkEnd w:id="0"/>
          </w:p>
          <w:p w:rsidR="004D5773" w:rsidRDefault="004D5773">
            <w:bookmarkStart w:id="1" w:name="_74ktwsjh401h" w:colFirst="0" w:colLast="0"/>
            <w:bookmarkEnd w:id="1"/>
          </w:p>
          <w:p w:rsidR="004D5773" w:rsidRDefault="00416310">
            <w:bookmarkStart w:id="2" w:name="_zg6zwwugv1yv" w:colFirst="0" w:colLast="0"/>
            <w:bookmarkEnd w:id="2"/>
            <w:r>
              <w:t>Joe Hamilton</w:t>
            </w:r>
          </w:p>
        </w:tc>
        <w:tc>
          <w:tcPr>
            <w:tcW w:w="4952" w:type="dxa"/>
            <w:tcMar>
              <w:left w:w="115" w:type="dxa"/>
              <w:right w:w="115" w:type="dxa"/>
            </w:tcMar>
          </w:tcPr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5773" w:rsidRDefault="00416310">
            <w:r>
              <w:t>Approved</w:t>
            </w:r>
          </w:p>
          <w:p w:rsidR="004D5773" w:rsidRDefault="004D5773">
            <w:pPr>
              <w:ind w:right="-113"/>
            </w:pPr>
          </w:p>
          <w:p w:rsidR="004D5773" w:rsidRDefault="00416310">
            <w:pPr>
              <w:ind w:right="-113"/>
            </w:pPr>
            <w:r>
              <w:t xml:space="preserve">All four applicants were approved. Professionals going include Roberta Donahue, Brenda Higgins, Terri Tucker, John </w:t>
            </w:r>
            <w:proofErr w:type="spellStart"/>
            <w:r>
              <w:t>Kelsall</w:t>
            </w:r>
            <w:proofErr w:type="spellEnd"/>
            <w:r>
              <w:t xml:space="preserve">, Zac Burden, and Janna Stoskopf. </w:t>
            </w:r>
          </w:p>
          <w:p w:rsidR="004D5773" w:rsidRDefault="004D5773">
            <w:pPr>
              <w:ind w:right="-113"/>
            </w:pPr>
          </w:p>
          <w:p w:rsidR="004D5773" w:rsidRDefault="00416310">
            <w:pPr>
              <w:ind w:right="-113"/>
            </w:pPr>
            <w:r>
              <w:t>It is important to discuss opportunities for improvement of the strategic plan. For example, if we</w:t>
            </w:r>
            <w:r w:rsidR="00A97893">
              <w:t xml:space="preserve"> want to fund substance free </w:t>
            </w:r>
            <w:r>
              <w:t>Greek Week events, we need to add it into our strategic plan this summer.</w:t>
            </w:r>
          </w:p>
          <w:p w:rsidR="004D5773" w:rsidRDefault="00416310">
            <w:pPr>
              <w:ind w:right="-113"/>
            </w:pPr>
            <w:r>
              <w:t xml:space="preserve">Next quarterly report due in April. </w:t>
            </w:r>
          </w:p>
          <w:p w:rsidR="004D5773" w:rsidRPr="00D93ADB" w:rsidRDefault="00922227">
            <w:pPr>
              <w:ind w:right="-113"/>
            </w:pPr>
            <w:r w:rsidRPr="00D93ADB">
              <w:t xml:space="preserve">A subcommittee was </w:t>
            </w:r>
            <w:r w:rsidR="00D93ADB" w:rsidRPr="00D93ADB">
              <w:t>formed by</w:t>
            </w:r>
            <w:r w:rsidRPr="00D93ADB">
              <w:t xml:space="preserve"> </w:t>
            </w:r>
            <w:r w:rsidR="00416310" w:rsidRPr="00D93ADB">
              <w:t xml:space="preserve">Joe Hamilton, Zach Hollstrom, JD Smiser, and John </w:t>
            </w:r>
            <w:proofErr w:type="spellStart"/>
            <w:r w:rsidR="00416310" w:rsidRPr="00D93ADB">
              <w:t>Kelsall</w:t>
            </w:r>
            <w:proofErr w:type="spellEnd"/>
            <w:r w:rsidRPr="00D93ADB">
              <w:t xml:space="preserve">. The subcommittee will discuss </w:t>
            </w:r>
            <w:r w:rsidR="00416310" w:rsidRPr="00D93ADB">
              <w:t>evidence based response for the dry campus argument specifically involving those over 21.</w:t>
            </w:r>
            <w:r w:rsidR="00D93ADB">
              <w:t xml:space="preserve"> Name to be determined by JD Smiser</w:t>
            </w:r>
            <w:r w:rsidR="00416310" w:rsidRPr="00D93ADB">
              <w:t xml:space="preserve"> </w:t>
            </w:r>
          </w:p>
          <w:p w:rsidR="004D5773" w:rsidRDefault="00416310">
            <w:pPr>
              <w:ind w:right="-113"/>
            </w:pPr>
            <w:r>
              <w:t>There are financial benefits for the university to support on campus living.</w:t>
            </w:r>
            <w:r w:rsidR="00922227">
              <w:t xml:space="preserve"> Th</w:t>
            </w:r>
            <w:r w:rsidR="00AA05C5">
              <w:t xml:space="preserve">erefore, it is important to encourage students to stay on campus. </w:t>
            </w:r>
          </w:p>
          <w:p w:rsidR="004D5773" w:rsidRDefault="00416310">
            <w:pPr>
              <w:ind w:right="-113"/>
            </w:pPr>
            <w:r>
              <w:t>It is important to clarify the c</w:t>
            </w:r>
            <w:r w:rsidR="00922227">
              <w:t>urrent policy and administration’s</w:t>
            </w:r>
            <w:r>
              <w:t xml:space="preserve"> position on the policy. </w:t>
            </w:r>
          </w:p>
          <w:p w:rsidR="004D5773" w:rsidRDefault="00416310">
            <w:pPr>
              <w:ind w:right="-113"/>
            </w:pPr>
            <w:r>
              <w:t>A person who is 21</w:t>
            </w:r>
            <w:r w:rsidR="00FA2552">
              <w:t xml:space="preserve"> is violating the</w:t>
            </w:r>
            <w:bookmarkStart w:id="3" w:name="_GoBack"/>
            <w:bookmarkEnd w:id="3"/>
            <w:r w:rsidR="00FA2552">
              <w:t xml:space="preserve"> policy if they are on campus intoxicated. </w:t>
            </w:r>
          </w:p>
          <w:p w:rsidR="004D5773" w:rsidRDefault="00416310">
            <w:pPr>
              <w:ind w:right="-113"/>
            </w:pPr>
            <w:r>
              <w:t xml:space="preserve">MACHB survey in the past has not </w:t>
            </w:r>
            <w:r w:rsidR="0024725D">
              <w:t>suggested</w:t>
            </w:r>
            <w:r>
              <w:t xml:space="preserve"> students </w:t>
            </w:r>
            <w:r>
              <w:lastRenderedPageBreak/>
              <w:t xml:space="preserve">feel unsafe by Truman’s alcohol policies. However, students claim otherwise feeling. </w:t>
            </w:r>
          </w:p>
        </w:tc>
      </w:tr>
      <w:tr w:rsidR="004D5773">
        <w:trPr>
          <w:trHeight w:val="3580"/>
        </w:trPr>
        <w:tc>
          <w:tcPr>
            <w:tcW w:w="3845" w:type="dxa"/>
            <w:tcMar>
              <w:left w:w="115" w:type="dxa"/>
              <w:right w:w="115" w:type="dxa"/>
            </w:tcMar>
          </w:tcPr>
          <w:p w:rsidR="004D5773" w:rsidRDefault="00416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Student Organization Reports</w:t>
            </w:r>
          </w:p>
          <w:p w:rsidR="004D5773" w:rsidRDefault="004D5773"/>
          <w:p w:rsidR="004D5773" w:rsidRDefault="00416310">
            <w:pPr>
              <w:spacing w:line="480" w:lineRule="auto"/>
            </w:pPr>
            <w:r>
              <w:t>PEK</w:t>
            </w:r>
          </w:p>
          <w:p w:rsidR="004D5773" w:rsidRDefault="00416310">
            <w:pPr>
              <w:spacing w:line="480" w:lineRule="auto"/>
            </w:pPr>
            <w:r>
              <w:t>SPHA</w:t>
            </w:r>
          </w:p>
          <w:p w:rsidR="004D5773" w:rsidRDefault="00416310">
            <w:r>
              <w:t>Panhellenic Representative</w:t>
            </w:r>
          </w:p>
          <w:p w:rsidR="004D5773" w:rsidRDefault="004D5773"/>
          <w:p w:rsidR="004D5773" w:rsidRDefault="004D5773"/>
          <w:p w:rsidR="004D5773" w:rsidRDefault="00416310">
            <w:r>
              <w:t xml:space="preserve">IFC Representative </w:t>
            </w:r>
          </w:p>
          <w:p w:rsidR="004D5773" w:rsidRDefault="004D5773"/>
          <w:p w:rsidR="004D5773" w:rsidRDefault="004D5773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D5773" w:rsidRDefault="004D5773"/>
          <w:p w:rsidR="004D5773" w:rsidRDefault="004D5773"/>
          <w:p w:rsidR="004D5773" w:rsidRDefault="00416310">
            <w:r>
              <w:t>Laura Wallace</w:t>
            </w:r>
          </w:p>
          <w:p w:rsidR="004D5773" w:rsidRDefault="004D5773"/>
          <w:p w:rsidR="004D5773" w:rsidRDefault="00416310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Ravikumar</w:t>
            </w:r>
            <w:proofErr w:type="spellEnd"/>
          </w:p>
          <w:p w:rsidR="004D5773" w:rsidRDefault="004D5773"/>
          <w:p w:rsidR="004D5773" w:rsidRDefault="00416310">
            <w:r>
              <w:t>Cami Smith</w:t>
            </w:r>
          </w:p>
          <w:p w:rsidR="004D5773" w:rsidRDefault="004D5773"/>
          <w:p w:rsidR="004D5773" w:rsidRDefault="004D5773"/>
          <w:p w:rsidR="004D5773" w:rsidRDefault="00416310">
            <w:r>
              <w:t xml:space="preserve">Will </w:t>
            </w:r>
            <w:proofErr w:type="spellStart"/>
            <w:r>
              <w:t>Hebrank</w:t>
            </w:r>
            <w:proofErr w:type="spellEnd"/>
          </w:p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  <w:p w:rsidR="004D5773" w:rsidRDefault="004D5773"/>
        </w:tc>
        <w:tc>
          <w:tcPr>
            <w:tcW w:w="4952" w:type="dxa"/>
            <w:tcMar>
              <w:left w:w="115" w:type="dxa"/>
              <w:right w:w="115" w:type="dxa"/>
            </w:tcMar>
          </w:tcPr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5773" w:rsidRDefault="004D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5773" w:rsidRDefault="00416310">
            <w:r>
              <w:t>No Report</w:t>
            </w:r>
          </w:p>
          <w:p w:rsidR="004D5773" w:rsidRDefault="004D5773"/>
          <w:p w:rsidR="004D5773" w:rsidRDefault="00416310">
            <w:proofErr w:type="spellStart"/>
            <w:r>
              <w:t>Reecha</w:t>
            </w:r>
            <w:proofErr w:type="spellEnd"/>
            <w:r>
              <w:t xml:space="preserve"> presented her report- Service Committee is working on the Kindness Rock Project. </w:t>
            </w:r>
          </w:p>
          <w:p w:rsidR="004D5773" w:rsidRDefault="00416310">
            <w:r>
              <w:t xml:space="preserve">Delta Zeta did a “healthy minds night”. Cami Smith discussed making the event a school wide. </w:t>
            </w:r>
          </w:p>
          <w:p w:rsidR="00416310" w:rsidRDefault="00416310"/>
          <w:p w:rsidR="004D5773" w:rsidRDefault="00416310">
            <w:r>
              <w:t xml:space="preserve">Greek Week is coming up at the end of March. Great opportunity for educational events around alcohol abuse. </w:t>
            </w:r>
          </w:p>
          <w:p w:rsidR="004D5773" w:rsidRDefault="004D5773"/>
        </w:tc>
      </w:tr>
    </w:tbl>
    <w:p w:rsidR="004D5773" w:rsidRDefault="004D5773"/>
    <w:sectPr w:rsidR="004D5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74" w:rsidRDefault="00416310">
      <w:r>
        <w:separator/>
      </w:r>
    </w:p>
  </w:endnote>
  <w:endnote w:type="continuationSeparator" w:id="0">
    <w:p w:rsidR="001E1E74" w:rsidRDefault="004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74" w:rsidRDefault="00416310">
      <w:r>
        <w:separator/>
      </w:r>
    </w:p>
  </w:footnote>
  <w:footnote w:type="continuationSeparator" w:id="0">
    <w:p w:rsidR="001E1E74" w:rsidRDefault="0041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16310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1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5773" w:rsidRDefault="00625634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Meeting Minutes</w:t>
    </w:r>
  </w:p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73" w:rsidRDefault="004D5773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7F1"/>
    <w:multiLevelType w:val="multilevel"/>
    <w:tmpl w:val="5A583D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773"/>
    <w:rsid w:val="001E1E74"/>
    <w:rsid w:val="0024725D"/>
    <w:rsid w:val="00416310"/>
    <w:rsid w:val="004D5773"/>
    <w:rsid w:val="00625634"/>
    <w:rsid w:val="00922227"/>
    <w:rsid w:val="00A97893"/>
    <w:rsid w:val="00AA05C5"/>
    <w:rsid w:val="00D93ADB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9</cp:revision>
  <dcterms:created xsi:type="dcterms:W3CDTF">2019-03-21T19:18:00Z</dcterms:created>
  <dcterms:modified xsi:type="dcterms:W3CDTF">2019-04-02T18:55:00Z</dcterms:modified>
</cp:coreProperties>
</file>